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65818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关于清理和规范全市殡葬服务收费项目的通知</w:t>
      </w:r>
    </w:p>
    <w:p w14:paraId="250DAAE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CESI楷体-GB2312" w:hAnsi="CESI楷体-GB2312" w:eastAsia="CESI楷体-GB2312" w:cs="CESI楷体-GB2312"/>
          <w:b/>
          <w:bCs/>
          <w:sz w:val="32"/>
          <w:szCs w:val="32"/>
          <w:lang w:val="en-US" w:eastAsia="zh-CN"/>
        </w:rPr>
      </w:pPr>
      <w:r>
        <w:rPr>
          <w:rFonts w:hint="eastAsia" w:ascii="CESI楷体-GB2312" w:hAnsi="CESI楷体-GB2312" w:eastAsia="CESI楷体-GB2312" w:cs="CESI楷体-GB2312"/>
          <w:b/>
          <w:bCs/>
          <w:sz w:val="32"/>
          <w:szCs w:val="32"/>
          <w:lang w:val="en-US" w:eastAsia="zh-CN"/>
        </w:rPr>
        <w:t>（征求意见稿）</w:t>
      </w:r>
    </w:p>
    <w:p w14:paraId="0C169B42">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lang w:val="en-US" w:eastAsia="zh-CN"/>
        </w:rPr>
      </w:pPr>
      <w:bookmarkStart w:id="0" w:name="_GoBack"/>
      <w:bookmarkEnd w:id="0"/>
    </w:p>
    <w:p w14:paraId="3DA1BD5F">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各县区（开发区、湾里管理局）发展改革部门、民政部门、财政部门、市场监督管理部门：</w:t>
      </w:r>
    </w:p>
    <w:p w14:paraId="0397D13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为进一步强化殡葬行业公益属性，规范殡葬服务收费行为，减轻群众丧葬负担，根据《江西省民政厅江西省发展改革委江西省财政厅江西省市场监督管理局关于进一步清理和规范全省殡葬服务收费项目的通知》（赣民字〔2025〕30号）《江西省发展改革委江西省民政厅江西省财政厅江西省市场监督管理局关于进一步完善殡葬服务有关收费政策的补充通知》（赣发展改革价管〔2026〕361号）以及相关政策法规，现就进一步清理和规范全市殡葬服务收费项目有关事项通知如下。</w:t>
      </w:r>
    </w:p>
    <w:p w14:paraId="4AF7CAF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一、适用范围</w:t>
      </w:r>
    </w:p>
    <w:p w14:paraId="6409734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全市范围内政府批准建设的殡仪馆、公墓（骨灰堂）等殡葬服务机构。</w:t>
      </w:r>
    </w:p>
    <w:p w14:paraId="5C71206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二、工作原则</w:t>
      </w:r>
    </w:p>
    <w:p w14:paraId="4521B141">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CESI仿宋-GB2312" w:hAnsi="CESI仿宋-GB2312" w:eastAsia="CESI仿宋-GB2312" w:cs="CESI仿宋-GB2312"/>
          <w:sz w:val="32"/>
          <w:szCs w:val="32"/>
          <w:lang w:val="en-US" w:eastAsia="zh-CN"/>
        </w:rPr>
      </w:pPr>
      <w:r>
        <w:rPr>
          <w:rFonts w:hint="eastAsia" w:ascii="CESI楷体-GB2312" w:hAnsi="CESI楷体-GB2312" w:eastAsia="CESI楷体-GB2312" w:cs="CESI楷体-GB2312"/>
          <w:b/>
          <w:bCs/>
          <w:sz w:val="32"/>
          <w:szCs w:val="32"/>
          <w:lang w:val="en-US" w:eastAsia="zh-CN"/>
        </w:rPr>
        <w:t>（一）坚持公益属性。</w:t>
      </w:r>
      <w:r>
        <w:rPr>
          <w:rFonts w:hint="eastAsia" w:ascii="CESI仿宋-GB2312" w:hAnsi="CESI仿宋-GB2312" w:eastAsia="CESI仿宋-GB2312" w:cs="CESI仿宋-GB2312"/>
          <w:sz w:val="32"/>
          <w:szCs w:val="32"/>
          <w:lang w:val="en-US" w:eastAsia="zh-CN"/>
        </w:rPr>
        <w:t>建立南昌市殡葬服务收费项目指导目录，实行“20+2”模式（基础项目20项、非基础项目2大项），防止收费项目过多、过乱。各县（区）制定具体收费标准时，应始终坚持公益性定位，合理确定收费标准。</w:t>
      </w:r>
    </w:p>
    <w:p w14:paraId="6380D4A5">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CESI仿宋-GB2312" w:hAnsi="CESI仿宋-GB2312" w:eastAsia="CESI仿宋-GB2312" w:cs="CESI仿宋-GB2312"/>
          <w:sz w:val="32"/>
          <w:szCs w:val="32"/>
          <w:lang w:val="en-US" w:eastAsia="zh-CN"/>
        </w:rPr>
      </w:pPr>
      <w:r>
        <w:rPr>
          <w:rFonts w:hint="eastAsia" w:ascii="CESI楷体-GB2312" w:hAnsi="CESI楷体-GB2312" w:eastAsia="CESI楷体-GB2312" w:cs="CESI楷体-GB2312"/>
          <w:b/>
          <w:bCs/>
          <w:sz w:val="32"/>
          <w:szCs w:val="32"/>
          <w:lang w:val="en-US" w:eastAsia="zh-CN"/>
        </w:rPr>
        <w:t>（二）坚持平衡统一。</w:t>
      </w:r>
      <w:r>
        <w:rPr>
          <w:rFonts w:hint="eastAsia" w:ascii="CESI仿宋-GB2312" w:hAnsi="CESI仿宋-GB2312" w:eastAsia="CESI仿宋-GB2312" w:cs="CESI仿宋-GB2312"/>
          <w:sz w:val="32"/>
          <w:szCs w:val="32"/>
          <w:lang w:val="en-US" w:eastAsia="zh-CN"/>
        </w:rPr>
        <w:t>殡葬服务收费管理实行“统一政策，分级管理”，即：全省统一收费项目、设区市统一收费区间，县（区）收费标准与当地经济发展水平相适应。避免市域范围内同一收费项目价格幅度跨度过大，做到区域平衡。</w:t>
      </w:r>
    </w:p>
    <w:p w14:paraId="133E1CF6">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CESI仿宋-GB2312" w:hAnsi="CESI仿宋-GB2312" w:eastAsia="CESI仿宋-GB2312" w:cs="CESI仿宋-GB2312"/>
          <w:sz w:val="32"/>
          <w:szCs w:val="32"/>
          <w:lang w:val="en-US" w:eastAsia="zh-CN"/>
        </w:rPr>
      </w:pPr>
      <w:r>
        <w:rPr>
          <w:rFonts w:hint="eastAsia" w:ascii="CESI楷体-GB2312" w:hAnsi="CESI楷体-GB2312" w:eastAsia="CESI楷体-GB2312" w:cs="CESI楷体-GB2312"/>
          <w:b/>
          <w:bCs/>
          <w:sz w:val="32"/>
          <w:szCs w:val="32"/>
          <w:lang w:val="en-US" w:eastAsia="zh-CN"/>
        </w:rPr>
        <w:t>（三）坚持公开透明。</w:t>
      </w:r>
      <w:r>
        <w:rPr>
          <w:rFonts w:hint="eastAsia" w:ascii="CESI仿宋-GB2312" w:hAnsi="CESI仿宋-GB2312" w:eastAsia="CESI仿宋-GB2312" w:cs="CESI仿宋-GB2312"/>
          <w:sz w:val="32"/>
          <w:szCs w:val="32"/>
          <w:lang w:val="en-US" w:eastAsia="zh-CN"/>
        </w:rPr>
        <w:t>所有收费项目及服务内容和标准必须明码标价、向社会公开，不得有未公示的收费项目及服务。严禁超出清单范围设置收费项目，严禁拆分项目，防止变相收费。</w:t>
      </w:r>
    </w:p>
    <w:p w14:paraId="7D5112FA">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CESI仿宋-GB2312" w:hAnsi="CESI仿宋-GB2312" w:eastAsia="CESI仿宋-GB2312" w:cs="CESI仿宋-GB2312"/>
          <w:sz w:val="32"/>
          <w:szCs w:val="32"/>
          <w:lang w:val="en-US" w:eastAsia="zh-CN"/>
        </w:rPr>
      </w:pPr>
      <w:r>
        <w:rPr>
          <w:rFonts w:hint="eastAsia" w:ascii="CESI楷体-GB2312" w:hAnsi="CESI楷体-GB2312" w:eastAsia="CESI楷体-GB2312" w:cs="CESI楷体-GB2312"/>
          <w:b/>
          <w:bCs/>
          <w:sz w:val="32"/>
          <w:szCs w:val="32"/>
          <w:lang w:val="en-US" w:eastAsia="zh-CN"/>
        </w:rPr>
        <w:t>（四）坚持移风易俗。</w:t>
      </w:r>
      <w:r>
        <w:rPr>
          <w:rFonts w:hint="eastAsia" w:ascii="CESI仿宋-GB2312" w:hAnsi="CESI仿宋-GB2312" w:eastAsia="CESI仿宋-GB2312" w:cs="CESI仿宋-GB2312"/>
          <w:sz w:val="32"/>
          <w:szCs w:val="32"/>
          <w:lang w:val="en-US" w:eastAsia="zh-CN"/>
        </w:rPr>
        <w:t>所有收费项目必须符合生态、环保、安全、文明的要求，倡导丧事简办、厚养礼葬、文明祭祀，严禁开展封建迷信活动。</w:t>
      </w:r>
    </w:p>
    <w:p w14:paraId="1CBB8A1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三、合理确定价格</w:t>
      </w:r>
    </w:p>
    <w:p w14:paraId="544A0B4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本通知附发《南昌市殡葬服务收费项目指导目录》（以下简称《指导目录》，见附件），明确基础项目和非基础项目，基础项目实行政府指导价管理，非基础项目实行市场调节价管理。</w:t>
      </w:r>
    </w:p>
    <w:p w14:paraId="032BD648">
      <w:pPr>
        <w:keepNext w:val="0"/>
        <w:keepLines w:val="0"/>
        <w:pageBreakBefore w:val="0"/>
        <w:widowControl w:val="0"/>
        <w:numPr>
          <w:ilvl w:val="0"/>
          <w:numId w:val="4"/>
        </w:numPr>
        <w:kinsoku/>
        <w:wordWrap/>
        <w:overflowPunct/>
        <w:topLinePunct w:val="0"/>
        <w:autoSpaceDE/>
        <w:autoSpaceDN/>
        <w:bidi w:val="0"/>
        <w:adjustRightInd/>
        <w:snapToGrid/>
        <w:spacing w:line="600" w:lineRule="exact"/>
        <w:ind w:firstLine="643" w:firstLineChars="200"/>
        <w:jc w:val="both"/>
        <w:textAlignment w:val="auto"/>
        <w:rPr>
          <w:rFonts w:hint="eastAsia" w:ascii="CESI楷体-GB2312" w:hAnsi="CESI楷体-GB2312" w:eastAsia="CESI楷体-GB2312" w:cs="CESI楷体-GB2312"/>
          <w:b/>
          <w:bCs/>
          <w:sz w:val="32"/>
          <w:szCs w:val="32"/>
          <w:lang w:val="en-US" w:eastAsia="zh-CN"/>
        </w:rPr>
      </w:pPr>
      <w:r>
        <w:rPr>
          <w:rFonts w:hint="eastAsia" w:ascii="CESI楷体-GB2312" w:hAnsi="CESI楷体-GB2312" w:eastAsia="CESI楷体-GB2312" w:cs="CESI楷体-GB2312"/>
          <w:b/>
          <w:bCs/>
          <w:sz w:val="32"/>
          <w:szCs w:val="32"/>
          <w:lang w:val="en-US" w:eastAsia="zh-CN"/>
        </w:rPr>
        <w:t>基础项目实行政府指导价管理</w:t>
      </w:r>
    </w:p>
    <w:p w14:paraId="7E73FFF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市发展改革委、市民政局依据成本监审（调查）和测算情况，在《指导目录》中明确了基准收费标准及浮动幅度。各县区（开发区、湾里管理局）发展改革、财政、民政部门须在市级确定的浮动幅度内，按照非营利性原则明确各项目的具体收费标准。由殡葬服务机构提出拟执行的具体收费标准并申报，经县区（开发区、湾里管理局）民政部门初审，同级发展改革和财政部门审核后实施。对殡葬服务机构提供的遗体接运、遗体存放（冷藏）、遗体告别、遗体火化、骨灰寄存、生态安葬、政府举办的殡葬服务机构提供的骨灰格位安葬等7项基础项目收费，按行政事业性收费管理，其他收费按照事业单位财务管理有关规定执行。</w:t>
      </w:r>
    </w:p>
    <w:p w14:paraId="1D80718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公益性公墓（骨灰堂）只能收取维护管理费，并实行政府指导价，不得收取墓位（格位）成本费、使用费等其他费用。对树葬等不保留骨灰的生态安葬按规定给予适当奖补，因安葬成本过高确需收费的，可适当收取生态安葬费。农村公益性墓地原则上不得向村民收取墓位使用费，如需收取维护管理费，由村民委员会或村集体经济组织按照实际成本明确收费标准，并书面报告县级民政部门。</w:t>
      </w:r>
    </w:p>
    <w:p w14:paraId="070FAD0A">
      <w:pPr>
        <w:keepNext w:val="0"/>
        <w:keepLines w:val="0"/>
        <w:pageBreakBefore w:val="0"/>
        <w:widowControl w:val="0"/>
        <w:numPr>
          <w:ilvl w:val="0"/>
          <w:numId w:val="4"/>
        </w:numPr>
        <w:kinsoku/>
        <w:wordWrap/>
        <w:overflowPunct/>
        <w:topLinePunct w:val="0"/>
        <w:autoSpaceDE/>
        <w:autoSpaceDN/>
        <w:bidi w:val="0"/>
        <w:adjustRightInd/>
        <w:snapToGrid/>
        <w:spacing w:line="600" w:lineRule="exact"/>
        <w:ind w:left="0" w:leftChars="0" w:firstLine="643" w:firstLineChars="200"/>
        <w:jc w:val="both"/>
        <w:textAlignment w:val="auto"/>
        <w:rPr>
          <w:rFonts w:hint="eastAsia" w:ascii="CESI楷体-GB2312" w:hAnsi="CESI楷体-GB2312" w:eastAsia="CESI楷体-GB2312" w:cs="CESI楷体-GB2312"/>
          <w:b/>
          <w:bCs/>
          <w:sz w:val="32"/>
          <w:szCs w:val="32"/>
          <w:lang w:val="en-US" w:eastAsia="zh-CN"/>
        </w:rPr>
      </w:pPr>
      <w:r>
        <w:rPr>
          <w:rFonts w:hint="eastAsia" w:ascii="CESI楷体-GB2312" w:hAnsi="CESI楷体-GB2312" w:eastAsia="CESI楷体-GB2312" w:cs="CESI楷体-GB2312"/>
          <w:b/>
          <w:bCs/>
          <w:sz w:val="32"/>
          <w:szCs w:val="32"/>
          <w:lang w:val="en-US" w:eastAsia="zh-CN"/>
        </w:rPr>
        <w:t>非基础项目实行市场调节价管理</w:t>
      </w:r>
    </w:p>
    <w:p w14:paraId="568B32A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市民政局会同市发展改革委等部门，按照“补偿成本、合理盈利”的原则，统筹考虑经济社会发展水平和群众承受能力，已在《指导目录》中明确市场调节价收费标准参考区间或进销差价（率）。各殡葬服务机构须据此确定具体收费标准，并书面报告各县区（开发区、湾里管理局）民政部门后实施。</w:t>
      </w:r>
    </w:p>
    <w:p w14:paraId="2C11284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四、规范服务秩序</w:t>
      </w:r>
    </w:p>
    <w:p w14:paraId="57D28EDB">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CESI仿宋-GB2312" w:hAnsi="CESI仿宋-GB2312" w:eastAsia="CESI仿宋-GB2312" w:cs="CESI仿宋-GB2312"/>
          <w:sz w:val="32"/>
          <w:szCs w:val="32"/>
          <w:lang w:val="en-US" w:eastAsia="zh-CN"/>
        </w:rPr>
      </w:pPr>
      <w:r>
        <w:rPr>
          <w:rFonts w:hint="eastAsia" w:ascii="CESI楷体-GB2312" w:hAnsi="CESI楷体-GB2312" w:eastAsia="CESI楷体-GB2312" w:cs="CESI楷体-GB2312"/>
          <w:b/>
          <w:bCs/>
          <w:sz w:val="32"/>
          <w:szCs w:val="32"/>
          <w:lang w:val="en-US" w:eastAsia="zh-CN"/>
        </w:rPr>
        <w:t>（一）规范收费行为。</w:t>
      </w:r>
      <w:r>
        <w:rPr>
          <w:rFonts w:hint="eastAsia" w:ascii="CESI仿宋-GB2312" w:hAnsi="CESI仿宋-GB2312" w:eastAsia="CESI仿宋-GB2312" w:cs="CESI仿宋-GB2312"/>
          <w:sz w:val="32"/>
          <w:szCs w:val="32"/>
          <w:lang w:val="en-US" w:eastAsia="zh-CN"/>
        </w:rPr>
        <w:t>各县区（开发区、湾里管理局）民政部门要会同发展改革、市场监督管理部门加强对殡葬服务机构的日常监督与指导，落实殡葬服务机构运营情况抽查检查、年度报告等制度，推动殡葬服务机构全面使用全省统一的制式合同，严格履行合同义务。指导殡葬服务机构严格规范服务行为，引导群众理性消费和明白消费，不得违反公平自愿原则，以任何形式捆绑、拆分或强制提供服务并收费，不得限制或变相限制丧属使用自带骨灰盒等文明丧葬用品。</w:t>
      </w:r>
    </w:p>
    <w:p w14:paraId="6ABE7877">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CESI仿宋-GB2312" w:hAnsi="CESI仿宋-GB2312" w:eastAsia="CESI仿宋-GB2312" w:cs="CESI仿宋-GB2312"/>
          <w:sz w:val="32"/>
          <w:szCs w:val="32"/>
          <w:lang w:val="en-US" w:eastAsia="zh-CN"/>
        </w:rPr>
      </w:pPr>
      <w:r>
        <w:rPr>
          <w:rFonts w:hint="eastAsia" w:ascii="CESI楷体-GB2312" w:hAnsi="CESI楷体-GB2312" w:eastAsia="CESI楷体-GB2312" w:cs="CESI楷体-GB2312"/>
          <w:b/>
          <w:bCs/>
          <w:sz w:val="32"/>
          <w:szCs w:val="32"/>
          <w:lang w:val="en-US" w:eastAsia="zh-CN"/>
        </w:rPr>
        <w:t>（二）落实惠民政策。</w:t>
      </w:r>
      <w:r>
        <w:rPr>
          <w:rFonts w:hint="eastAsia" w:ascii="CESI仿宋-GB2312" w:hAnsi="CESI仿宋-GB2312" w:eastAsia="CESI仿宋-GB2312" w:cs="CESI仿宋-GB2312"/>
          <w:sz w:val="32"/>
          <w:szCs w:val="32"/>
          <w:lang w:val="en-US" w:eastAsia="zh-CN"/>
        </w:rPr>
        <w:t>要严格落实惠民殡葬减免优惠政策，不得利用群众对相关政策不熟悉而少减免、不减免，要加大宣传力度，及时回应社会关切，更好地满足群众合理需求。要确保寿衣、花圈等文明殡葬用品的中低价位品种供应充足，坚决遏制价格虚高，切实减轻群众治丧负担。要严格落实各类税费减免政策和政府举办的事业单位性质殡葬服务机构用水用电按照当地居民使用价格标准收取等相关规定。</w:t>
      </w:r>
    </w:p>
    <w:p w14:paraId="5723E5FE">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CESI仿宋-GB2312" w:hAnsi="CESI仿宋-GB2312" w:eastAsia="CESI仿宋-GB2312" w:cs="CESI仿宋-GB2312"/>
          <w:sz w:val="32"/>
          <w:szCs w:val="32"/>
          <w:lang w:val="en-US" w:eastAsia="zh-CN"/>
        </w:rPr>
      </w:pPr>
      <w:r>
        <w:rPr>
          <w:rFonts w:hint="eastAsia" w:ascii="CESI楷体-GB2312" w:hAnsi="CESI楷体-GB2312" w:eastAsia="CESI楷体-GB2312" w:cs="CESI楷体-GB2312"/>
          <w:b/>
          <w:bCs/>
          <w:sz w:val="32"/>
          <w:szCs w:val="32"/>
          <w:lang w:val="en-US" w:eastAsia="zh-CN"/>
        </w:rPr>
        <w:t>（三）加强协同配合。</w:t>
      </w:r>
      <w:r>
        <w:rPr>
          <w:rFonts w:hint="eastAsia" w:ascii="CESI仿宋-GB2312" w:hAnsi="CESI仿宋-GB2312" w:eastAsia="CESI仿宋-GB2312" w:cs="CESI仿宋-GB2312"/>
          <w:sz w:val="32"/>
          <w:szCs w:val="32"/>
          <w:lang w:val="en-US" w:eastAsia="zh-CN"/>
        </w:rPr>
        <w:t>各县区（开发区、湾里管理局）发展改革、民政、财政、市场监管等部门要建立常态化联合监管机制。发展改革部门要加强基础殡葬服务收费项目管理工作，建立收费政策定期评估制度，评估周期原则上不超过3年；民政部门要加强行业管理，规范殡葬服务机构各类服务行为，畅通群众投诉举报渠道；财政部门要监督事业单位收取的行政事业性收费，按规定纳入财政预算管理；市场监管部门要畅通“12315”投诉举报渠道，认真受理投诉或举报，采取综合监管手段，严肃查处价格违法行为，切实维护广大群众的合法权益。</w:t>
      </w:r>
    </w:p>
    <w:p w14:paraId="4F8FCE69">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CESI仿宋-GB2312" w:hAnsi="CESI仿宋-GB2312" w:eastAsia="CESI仿宋-GB2312" w:cs="CESI仿宋-GB2312"/>
          <w:sz w:val="32"/>
          <w:szCs w:val="32"/>
          <w:lang w:val="en-US" w:eastAsia="zh-CN"/>
        </w:rPr>
      </w:pPr>
      <w:r>
        <w:rPr>
          <w:rFonts w:hint="eastAsia" w:ascii="CESI楷体-GB2312" w:hAnsi="CESI楷体-GB2312" w:eastAsia="CESI楷体-GB2312" w:cs="CESI楷体-GB2312"/>
          <w:b/>
          <w:bCs/>
          <w:sz w:val="32"/>
          <w:szCs w:val="32"/>
          <w:lang w:val="en-US" w:eastAsia="zh-CN"/>
        </w:rPr>
        <w:t>（四）强化重点监管。</w:t>
      </w:r>
      <w:r>
        <w:rPr>
          <w:rFonts w:hint="eastAsia" w:ascii="CESI仿宋-GB2312" w:hAnsi="CESI仿宋-GB2312" w:eastAsia="CESI仿宋-GB2312" w:cs="CESI仿宋-GB2312"/>
          <w:sz w:val="32"/>
          <w:szCs w:val="32"/>
          <w:lang w:val="en-US" w:eastAsia="zh-CN"/>
        </w:rPr>
        <w:t>各县区（开发区、湾里管理局）民政部门要会同发展改革、市场监管等部门加强殡仪馆、经营性公墓收费行为监管，坚决查处各类违规收费问题，严厉打击超规定面积或变相超规定面积建墓行为；凡使用财政性资金采购殡葬用品或相关服务且达到限额标准的，必须严格按照政府采购法律制度规定执行，不得规避或拆分项目。</w:t>
      </w:r>
    </w:p>
    <w:p w14:paraId="12D8780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本通知有效期至2027年10月。国家、省另有规定的，从其规定。</w:t>
      </w:r>
    </w:p>
    <w:p w14:paraId="1CB8DB8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CESI仿宋-GB2312" w:hAnsi="CESI仿宋-GB2312" w:eastAsia="CESI仿宋-GB2312" w:cs="CESI仿宋-GB2312"/>
          <w:sz w:val="32"/>
          <w:szCs w:val="32"/>
          <w:lang w:val="en-US" w:eastAsia="zh-CN"/>
        </w:rPr>
      </w:pPr>
    </w:p>
    <w:p w14:paraId="09AC6D4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附件：南昌市殡葬服务收费项目指导目录</w:t>
      </w:r>
    </w:p>
    <w:p w14:paraId="6A9B3CF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CESI仿宋-GB2312" w:hAnsi="CESI仿宋-GB2312" w:eastAsia="CESI仿宋-GB2312" w:cs="CESI仿宋-GB2312"/>
          <w:sz w:val="32"/>
          <w:szCs w:val="32"/>
          <w:lang w:val="en-US" w:eastAsia="zh-CN"/>
        </w:rPr>
      </w:pPr>
    </w:p>
    <w:p w14:paraId="4B559FB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CESI仿宋-GB2312" w:hAnsi="CESI仿宋-GB2312" w:eastAsia="CESI仿宋-GB2312" w:cs="CESI仿宋-GB2312"/>
          <w:sz w:val="32"/>
          <w:szCs w:val="32"/>
          <w:lang w:val="en-US" w:eastAsia="zh-CN"/>
        </w:rPr>
      </w:pPr>
    </w:p>
    <w:p w14:paraId="397918E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CESI仿宋-GB2312" w:hAnsi="CESI仿宋-GB2312" w:eastAsia="CESI仿宋-GB2312" w:cs="CESI仿宋-GB2312"/>
          <w:sz w:val="32"/>
          <w:szCs w:val="32"/>
          <w:lang w:val="en-US" w:eastAsia="zh-CN"/>
        </w:rPr>
        <w:sectPr>
          <w:footerReference r:id="rId3" w:type="default"/>
          <w:pgSz w:w="11906" w:h="16838"/>
          <w:pgMar w:top="1440" w:right="1800" w:bottom="1440" w:left="1800" w:header="851" w:footer="992" w:gutter="0"/>
          <w:pgNumType w:fmt="numberInDash"/>
          <w:cols w:space="720" w:num="1"/>
          <w:docGrid w:type="lines" w:linePitch="312" w:charSpace="0"/>
        </w:sectPr>
      </w:pPr>
    </w:p>
    <w:p w14:paraId="72F71947">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CESI仿宋-GB2312" w:hAnsi="CESI仿宋-GB2312" w:eastAsia="CESI仿宋-GB2312" w:cs="CESI仿宋-GB2312"/>
          <w:sz w:val="32"/>
          <w:szCs w:val="32"/>
          <w:lang w:val="en-US" w:eastAsia="zh-CN"/>
        </w:rPr>
      </w:pPr>
      <w:r>
        <w:rPr>
          <w:rFonts w:hint="eastAsia" w:ascii="CESI仿宋-GB2312" w:hAnsi="CESI仿宋-GB2312" w:eastAsia="CESI仿宋-GB2312" w:cs="CESI仿宋-GB2312"/>
          <w:sz w:val="32"/>
          <w:szCs w:val="32"/>
          <w:lang w:val="en-US" w:eastAsia="zh-CN"/>
        </w:rPr>
        <w:t>附件1</w:t>
      </w:r>
    </w:p>
    <w:p w14:paraId="37E9D9F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南昌市殡葬服务收费项目指导目录</w:t>
      </w:r>
    </w:p>
    <w:p w14:paraId="20DA2AEB">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_GBK" w:hAnsi="方正小标宋_GBK" w:eastAsia="方正小标宋_GBK" w:cs="方正小标宋_GBK"/>
          <w:sz w:val="44"/>
          <w:szCs w:val="44"/>
          <w:lang w:val="en-US" w:eastAsia="zh-CN"/>
        </w:rPr>
      </w:pPr>
    </w:p>
    <w:tbl>
      <w:tblPr>
        <w:tblStyle w:val="9"/>
        <w:tblW w:w="147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0"/>
        <w:gridCol w:w="982"/>
        <w:gridCol w:w="1350"/>
        <w:gridCol w:w="1534"/>
        <w:gridCol w:w="4822"/>
        <w:gridCol w:w="1275"/>
        <w:gridCol w:w="1238"/>
        <w:gridCol w:w="1147"/>
        <w:gridCol w:w="1928"/>
      </w:tblGrid>
      <w:tr w14:paraId="3AD7F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blHeader/>
          <w:jc w:val="center"/>
        </w:trPr>
        <w:tc>
          <w:tcPr>
            <w:tcW w:w="500" w:type="dxa"/>
            <w:noWrap w:val="0"/>
            <w:vAlign w:val="center"/>
          </w:tcPr>
          <w:p w14:paraId="3813C1BC">
            <w:pPr>
              <w:spacing w:line="400" w:lineRule="exact"/>
              <w:jc w:val="center"/>
              <w:rPr>
                <w:rFonts w:hint="eastAsia" w:ascii="方正黑体_GBK" w:hAnsi="方正黑体_GBK" w:eastAsia="方正黑体_GBK" w:cs="方正黑体_GBK"/>
                <w:w w:val="90"/>
                <w:sz w:val="40"/>
                <w:szCs w:val="48"/>
              </w:rPr>
            </w:pPr>
            <w:r>
              <w:rPr>
                <w:rFonts w:hint="eastAsia" w:ascii="方正黑体_GBK" w:hAnsi="方正黑体_GBK" w:eastAsia="方正黑体_GBK" w:cs="方正黑体_GBK"/>
                <w:w w:val="90"/>
                <w:sz w:val="28"/>
                <w:szCs w:val="36"/>
              </w:rPr>
              <w:t>序号</w:t>
            </w:r>
          </w:p>
        </w:tc>
        <w:tc>
          <w:tcPr>
            <w:tcW w:w="982" w:type="dxa"/>
            <w:noWrap w:val="0"/>
            <w:vAlign w:val="center"/>
          </w:tcPr>
          <w:p w14:paraId="74CC5089">
            <w:pPr>
              <w:spacing w:line="400" w:lineRule="exact"/>
              <w:jc w:val="center"/>
              <w:rPr>
                <w:rFonts w:hint="eastAsia" w:ascii="方正黑体_GBK" w:hAnsi="方正黑体_GBK" w:eastAsia="方正黑体_GBK" w:cs="方正黑体_GBK"/>
                <w:w w:val="90"/>
                <w:sz w:val="28"/>
                <w:szCs w:val="36"/>
              </w:rPr>
            </w:pPr>
            <w:r>
              <w:rPr>
                <w:rFonts w:hint="eastAsia" w:ascii="方正黑体_GBK" w:hAnsi="方正黑体_GBK" w:eastAsia="方正黑体_GBK" w:cs="方正黑体_GBK"/>
                <w:w w:val="90"/>
                <w:sz w:val="28"/>
                <w:szCs w:val="36"/>
              </w:rPr>
              <w:t>价格管理类型</w:t>
            </w:r>
          </w:p>
        </w:tc>
        <w:tc>
          <w:tcPr>
            <w:tcW w:w="2884" w:type="dxa"/>
            <w:gridSpan w:val="2"/>
            <w:noWrap w:val="0"/>
            <w:vAlign w:val="center"/>
          </w:tcPr>
          <w:p w14:paraId="771EC1A2">
            <w:pPr>
              <w:spacing w:line="400" w:lineRule="exact"/>
              <w:jc w:val="center"/>
              <w:rPr>
                <w:rFonts w:hint="eastAsia" w:ascii="方正黑体_GBK" w:hAnsi="方正黑体_GBK" w:eastAsia="方正黑体_GBK" w:cs="方正黑体_GBK"/>
                <w:w w:val="90"/>
                <w:sz w:val="28"/>
                <w:szCs w:val="36"/>
              </w:rPr>
            </w:pPr>
            <w:r>
              <w:rPr>
                <w:rFonts w:hint="eastAsia" w:ascii="方正黑体_GBK" w:hAnsi="方正黑体_GBK" w:eastAsia="方正黑体_GBK" w:cs="方正黑体_GBK"/>
                <w:w w:val="90"/>
                <w:sz w:val="28"/>
                <w:szCs w:val="36"/>
              </w:rPr>
              <w:t>服务项目</w:t>
            </w:r>
          </w:p>
        </w:tc>
        <w:tc>
          <w:tcPr>
            <w:tcW w:w="4822" w:type="dxa"/>
            <w:noWrap w:val="0"/>
            <w:vAlign w:val="center"/>
          </w:tcPr>
          <w:p w14:paraId="42AB645F">
            <w:pPr>
              <w:spacing w:line="400" w:lineRule="exact"/>
              <w:jc w:val="center"/>
              <w:rPr>
                <w:rFonts w:hint="eastAsia" w:ascii="方正黑体_GBK" w:hAnsi="方正黑体_GBK" w:eastAsia="方正黑体_GBK" w:cs="方正黑体_GBK"/>
                <w:w w:val="90"/>
                <w:sz w:val="28"/>
                <w:szCs w:val="36"/>
              </w:rPr>
            </w:pPr>
            <w:r>
              <w:rPr>
                <w:rFonts w:hint="eastAsia" w:ascii="方正黑体_GBK" w:hAnsi="方正黑体_GBK" w:eastAsia="方正黑体_GBK" w:cs="方正黑体_GBK"/>
                <w:w w:val="90"/>
                <w:sz w:val="28"/>
                <w:szCs w:val="36"/>
              </w:rPr>
              <w:t>服务内容</w:t>
            </w:r>
          </w:p>
        </w:tc>
        <w:tc>
          <w:tcPr>
            <w:tcW w:w="1275" w:type="dxa"/>
            <w:noWrap w:val="0"/>
            <w:vAlign w:val="center"/>
          </w:tcPr>
          <w:p w14:paraId="4F2A4E9C">
            <w:pPr>
              <w:spacing w:line="400" w:lineRule="exact"/>
              <w:jc w:val="center"/>
              <w:rPr>
                <w:rFonts w:hint="eastAsia" w:ascii="方正黑体_GBK" w:hAnsi="方正黑体_GBK" w:eastAsia="方正黑体_GBK" w:cs="方正黑体_GBK"/>
                <w:w w:val="90"/>
                <w:sz w:val="28"/>
                <w:szCs w:val="36"/>
                <w:lang w:eastAsia="zh-CN"/>
              </w:rPr>
            </w:pPr>
            <w:r>
              <w:rPr>
                <w:rFonts w:hint="eastAsia" w:ascii="方正黑体_GBK" w:hAnsi="方正黑体_GBK" w:eastAsia="方正黑体_GBK" w:cs="方正黑体_GBK"/>
                <w:w w:val="90"/>
                <w:sz w:val="28"/>
                <w:szCs w:val="36"/>
                <w:lang w:eastAsia="zh-CN"/>
              </w:rPr>
              <w:t>计价单位</w:t>
            </w:r>
          </w:p>
        </w:tc>
        <w:tc>
          <w:tcPr>
            <w:tcW w:w="1238" w:type="dxa"/>
            <w:noWrap w:val="0"/>
            <w:vAlign w:val="center"/>
          </w:tcPr>
          <w:p w14:paraId="5B4F0EA4">
            <w:pPr>
              <w:spacing w:line="400" w:lineRule="exact"/>
              <w:jc w:val="center"/>
              <w:rPr>
                <w:rFonts w:hint="eastAsia" w:ascii="方正黑体_GBK" w:hAnsi="方正黑体_GBK" w:eastAsia="方正黑体_GBK" w:cs="方正黑体_GBK"/>
                <w:w w:val="90"/>
                <w:sz w:val="28"/>
                <w:szCs w:val="36"/>
              </w:rPr>
            </w:pPr>
            <w:r>
              <w:rPr>
                <w:rFonts w:hint="eastAsia" w:ascii="方正黑体_GBK" w:hAnsi="方正黑体_GBK" w:eastAsia="方正黑体_GBK" w:cs="方正黑体_GBK"/>
                <w:w w:val="90"/>
                <w:sz w:val="28"/>
                <w:szCs w:val="36"/>
              </w:rPr>
              <w:t>基准收费标准</w:t>
            </w:r>
          </w:p>
        </w:tc>
        <w:tc>
          <w:tcPr>
            <w:tcW w:w="1147" w:type="dxa"/>
            <w:noWrap w:val="0"/>
            <w:vAlign w:val="center"/>
          </w:tcPr>
          <w:p w14:paraId="456D794F">
            <w:pPr>
              <w:spacing w:line="400" w:lineRule="exact"/>
              <w:jc w:val="center"/>
              <w:rPr>
                <w:rFonts w:hint="eastAsia" w:ascii="方正黑体_GBK" w:hAnsi="方正黑体_GBK" w:eastAsia="方正黑体_GBK" w:cs="方正黑体_GBK"/>
                <w:w w:val="90"/>
                <w:sz w:val="28"/>
                <w:szCs w:val="36"/>
                <w:lang w:eastAsia="zh-CN"/>
              </w:rPr>
            </w:pPr>
            <w:r>
              <w:rPr>
                <w:rFonts w:hint="eastAsia" w:ascii="方正黑体_GBK" w:hAnsi="方正黑体_GBK" w:eastAsia="方正黑体_GBK" w:cs="方正黑体_GBK"/>
                <w:w w:val="90"/>
                <w:sz w:val="28"/>
                <w:szCs w:val="36"/>
                <w:lang w:eastAsia="zh-CN"/>
              </w:rPr>
              <w:t>上下浮动幅度</w:t>
            </w:r>
          </w:p>
        </w:tc>
        <w:tc>
          <w:tcPr>
            <w:tcW w:w="1928" w:type="dxa"/>
            <w:noWrap w:val="0"/>
            <w:vAlign w:val="center"/>
          </w:tcPr>
          <w:p w14:paraId="677FAE5B">
            <w:pPr>
              <w:spacing w:line="400" w:lineRule="exact"/>
              <w:jc w:val="center"/>
              <w:rPr>
                <w:rFonts w:hint="eastAsia" w:ascii="方正黑体_GBK" w:hAnsi="方正黑体_GBK" w:eastAsia="方正黑体_GBK" w:cs="方正黑体_GBK"/>
                <w:w w:val="90"/>
                <w:sz w:val="28"/>
                <w:szCs w:val="36"/>
                <w:lang w:eastAsia="zh-CN"/>
              </w:rPr>
            </w:pPr>
            <w:r>
              <w:rPr>
                <w:rFonts w:hint="eastAsia" w:ascii="方正黑体_GBK" w:hAnsi="方正黑体_GBK" w:eastAsia="方正黑体_GBK" w:cs="方正黑体_GBK"/>
                <w:w w:val="90"/>
                <w:sz w:val="28"/>
                <w:szCs w:val="36"/>
                <w:lang w:eastAsia="zh-CN"/>
              </w:rPr>
              <w:t>备注</w:t>
            </w:r>
          </w:p>
        </w:tc>
      </w:tr>
      <w:tr w14:paraId="3B257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tblHeader/>
          <w:jc w:val="center"/>
        </w:trPr>
        <w:tc>
          <w:tcPr>
            <w:tcW w:w="500" w:type="dxa"/>
            <w:noWrap w:val="0"/>
            <w:vAlign w:val="center"/>
          </w:tcPr>
          <w:p w14:paraId="540A12F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36"/>
                <w:lang w:val="en-US" w:eastAsia="zh-CN"/>
              </w:rPr>
            </w:pPr>
            <w:r>
              <w:rPr>
                <w:rFonts w:hint="eastAsia" w:ascii="仿宋_GB2312" w:hAnsi="方正仿宋_GBK" w:eastAsia="仿宋_GB2312" w:cs="方正仿宋_GBK"/>
                <w:w w:val="90"/>
                <w:sz w:val="28"/>
                <w:szCs w:val="36"/>
                <w:lang w:val="en-US" w:eastAsia="zh-CN"/>
              </w:rPr>
              <w:t>1</w:t>
            </w:r>
          </w:p>
        </w:tc>
        <w:tc>
          <w:tcPr>
            <w:tcW w:w="982" w:type="dxa"/>
            <w:vMerge w:val="restart"/>
            <w:noWrap w:val="0"/>
            <w:vAlign w:val="center"/>
          </w:tcPr>
          <w:p w14:paraId="624B093C">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方正黑体_GBK" w:hAnsi="方正黑体_GBK" w:eastAsia="方正黑体_GBK" w:cs="方正黑体_GBK"/>
                <w:w w:val="90"/>
                <w:sz w:val="24"/>
                <w:szCs w:val="32"/>
                <w:lang w:eastAsia="zh-CN"/>
              </w:rPr>
            </w:pPr>
            <w:r>
              <w:rPr>
                <w:rFonts w:hint="eastAsia" w:ascii="方正黑体_GBK" w:hAnsi="方正黑体_GBK" w:eastAsia="方正黑体_GBK" w:cs="方正黑体_GBK"/>
                <w:w w:val="90"/>
                <w:sz w:val="24"/>
                <w:szCs w:val="32"/>
                <w:lang w:eastAsia="zh-CN"/>
              </w:rPr>
              <w:t>基础项目：政府指导价（</w:t>
            </w:r>
            <w:r>
              <w:rPr>
                <w:rFonts w:hint="eastAsia" w:ascii="方正黑体_GBK" w:hAnsi="方正黑体_GBK" w:eastAsia="方正黑体_GBK" w:cs="方正黑体_GBK"/>
                <w:w w:val="90"/>
                <w:sz w:val="24"/>
                <w:szCs w:val="32"/>
                <w:lang w:val="en-US" w:eastAsia="zh-CN"/>
              </w:rPr>
              <w:t>20项</w:t>
            </w:r>
            <w:r>
              <w:rPr>
                <w:rFonts w:hint="eastAsia" w:ascii="方正黑体_GBK" w:hAnsi="方正黑体_GBK" w:eastAsia="方正黑体_GBK" w:cs="方正黑体_GBK"/>
                <w:w w:val="90"/>
                <w:sz w:val="24"/>
                <w:szCs w:val="32"/>
                <w:lang w:eastAsia="zh-CN"/>
              </w:rPr>
              <w:t>）</w:t>
            </w:r>
          </w:p>
        </w:tc>
        <w:tc>
          <w:tcPr>
            <w:tcW w:w="2884" w:type="dxa"/>
            <w:gridSpan w:val="2"/>
            <w:noWrap w:val="0"/>
            <w:vAlign w:val="center"/>
          </w:tcPr>
          <w:p w14:paraId="358D905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w w:val="90"/>
                <w:sz w:val="24"/>
                <w:szCs w:val="32"/>
              </w:rPr>
            </w:pPr>
            <w:r>
              <w:rPr>
                <w:rFonts w:hint="eastAsia" w:ascii="仿宋_GB2312" w:hAnsi="方正仿宋_GBK" w:eastAsia="仿宋_GB2312" w:cs="方正仿宋_GBK"/>
                <w:w w:val="90"/>
                <w:sz w:val="28"/>
                <w:szCs w:val="28"/>
              </w:rPr>
              <w:t>遗体接运</w:t>
            </w:r>
          </w:p>
        </w:tc>
        <w:tc>
          <w:tcPr>
            <w:tcW w:w="4822" w:type="dxa"/>
            <w:noWrap w:val="0"/>
            <w:vAlign w:val="center"/>
          </w:tcPr>
          <w:p w14:paraId="4F4D26B4">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方正黑体_GBK" w:hAnsi="方正黑体_GBK" w:eastAsia="方正黑体_GBK" w:cs="方正黑体_GBK"/>
                <w:w w:val="90"/>
                <w:sz w:val="24"/>
                <w:szCs w:val="32"/>
              </w:rPr>
            </w:pPr>
            <w:r>
              <w:rPr>
                <w:rFonts w:hint="eastAsia" w:ascii="仿宋_GB2312" w:hAnsi="方正仿宋_GBK" w:eastAsia="仿宋_GB2312" w:cs="方正仿宋_GBK"/>
                <w:w w:val="90"/>
                <w:sz w:val="28"/>
                <w:szCs w:val="28"/>
              </w:rPr>
              <w:t>殡仪馆服务区域范围内遗体从停放点接运至殡仪馆，以及殡仪馆内火化前转运各环节费用，含正常遗体收殓、运输工具、人力搬运、消毒以及遗体垫盖布或裹尸袋等费用。（不含跨区域遗体接运及特殊遗体收殓）</w:t>
            </w:r>
          </w:p>
        </w:tc>
        <w:tc>
          <w:tcPr>
            <w:tcW w:w="1275" w:type="dxa"/>
            <w:noWrap w:val="0"/>
            <w:vAlign w:val="center"/>
          </w:tcPr>
          <w:p w14:paraId="43C828C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w w:val="90"/>
                <w:sz w:val="24"/>
                <w:szCs w:val="32"/>
              </w:rPr>
            </w:pPr>
            <w:r>
              <w:rPr>
                <w:rFonts w:hint="eastAsia" w:ascii="仿宋_GB2312" w:hAnsi="方正仿宋_GBK" w:eastAsia="仿宋_GB2312" w:cs="方正仿宋_GBK"/>
                <w:w w:val="90"/>
                <w:sz w:val="28"/>
                <w:szCs w:val="36"/>
              </w:rPr>
              <w:t>元/具/次</w:t>
            </w:r>
          </w:p>
        </w:tc>
        <w:tc>
          <w:tcPr>
            <w:tcW w:w="1238" w:type="dxa"/>
            <w:noWrap w:val="0"/>
            <w:vAlign w:val="center"/>
          </w:tcPr>
          <w:p w14:paraId="2162F8D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w w:val="90"/>
                <w:sz w:val="24"/>
                <w:szCs w:val="32"/>
              </w:rPr>
            </w:pPr>
            <w:r>
              <w:rPr>
                <w:rFonts w:hint="eastAsia" w:ascii="仿宋_GB2312" w:hAnsi="方正仿宋_GBK" w:eastAsia="仿宋_GB2312" w:cs="方正仿宋_GBK"/>
                <w:w w:val="90"/>
                <w:sz w:val="28"/>
                <w:szCs w:val="36"/>
              </w:rPr>
              <w:t>470</w:t>
            </w:r>
          </w:p>
        </w:tc>
        <w:tc>
          <w:tcPr>
            <w:tcW w:w="1147" w:type="dxa"/>
            <w:vMerge w:val="restart"/>
            <w:noWrap w:val="0"/>
            <w:vAlign w:val="center"/>
          </w:tcPr>
          <w:p w14:paraId="0D3DDBF6">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黑体_GBK" w:hAnsi="方正黑体_GBK" w:eastAsia="方正黑体_GBK" w:cs="方正黑体_GBK"/>
                <w:w w:val="90"/>
                <w:sz w:val="24"/>
                <w:szCs w:val="32"/>
              </w:rPr>
            </w:pPr>
            <w:r>
              <w:rPr>
                <w:rFonts w:hint="eastAsia" w:ascii="方正黑体_GBK" w:hAnsi="方正黑体_GBK" w:eastAsia="方正黑体_GBK" w:cs="方正黑体_GBK"/>
                <w:w w:val="90"/>
                <w:sz w:val="24"/>
                <w:szCs w:val="32"/>
              </w:rPr>
              <w:t>上浮不超过15%，下浮不限。</w:t>
            </w:r>
          </w:p>
        </w:tc>
        <w:tc>
          <w:tcPr>
            <w:tcW w:w="1928" w:type="dxa"/>
            <w:noWrap w:val="0"/>
            <w:vAlign w:val="center"/>
          </w:tcPr>
          <w:p w14:paraId="46068E2B">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方正黑体_GBK" w:hAnsi="方正黑体_GBK" w:eastAsia="方正黑体_GBK" w:cs="方正黑体_GBK"/>
                <w:w w:val="90"/>
                <w:sz w:val="24"/>
                <w:szCs w:val="32"/>
              </w:rPr>
            </w:pPr>
          </w:p>
        </w:tc>
      </w:tr>
      <w:tr w14:paraId="07C1A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blHeader/>
          <w:jc w:val="center"/>
        </w:trPr>
        <w:tc>
          <w:tcPr>
            <w:tcW w:w="500" w:type="dxa"/>
            <w:vMerge w:val="restart"/>
            <w:noWrap w:val="0"/>
            <w:vAlign w:val="center"/>
          </w:tcPr>
          <w:p w14:paraId="297A95D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方正仿宋_GBK" w:eastAsia="仿宋_GB2312" w:cs="方正仿宋_GBK"/>
                <w:w w:val="90"/>
                <w:sz w:val="28"/>
                <w:szCs w:val="36"/>
                <w:lang w:val="en-US" w:eastAsia="zh-CN"/>
              </w:rPr>
            </w:pPr>
            <w:r>
              <w:rPr>
                <w:rFonts w:hint="eastAsia" w:ascii="仿宋_GB2312" w:hAnsi="方正仿宋_GBK" w:eastAsia="仿宋_GB2312" w:cs="方正仿宋_GBK"/>
                <w:w w:val="90"/>
                <w:sz w:val="28"/>
                <w:szCs w:val="36"/>
                <w:lang w:val="en-US" w:eastAsia="zh-CN"/>
              </w:rPr>
              <w:t>2</w:t>
            </w:r>
          </w:p>
        </w:tc>
        <w:tc>
          <w:tcPr>
            <w:tcW w:w="982" w:type="dxa"/>
            <w:vMerge w:val="continue"/>
            <w:noWrap w:val="0"/>
            <w:vAlign w:val="center"/>
          </w:tcPr>
          <w:p w14:paraId="2A789390">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方正黑体_GBK" w:hAnsi="方正黑体_GBK" w:eastAsia="方正黑体_GBK" w:cs="方正黑体_GBK"/>
                <w:w w:val="90"/>
                <w:sz w:val="24"/>
                <w:szCs w:val="32"/>
                <w:lang w:eastAsia="zh-CN"/>
              </w:rPr>
            </w:pPr>
          </w:p>
        </w:tc>
        <w:tc>
          <w:tcPr>
            <w:tcW w:w="1350" w:type="dxa"/>
            <w:vMerge w:val="restart"/>
            <w:noWrap w:val="0"/>
            <w:vAlign w:val="center"/>
          </w:tcPr>
          <w:p w14:paraId="6ABA275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rPr>
            </w:pPr>
            <w:r>
              <w:rPr>
                <w:rFonts w:hint="eastAsia" w:ascii="仿宋_GB2312" w:hAnsi="方正仿宋_GBK" w:eastAsia="仿宋_GB2312" w:cs="方正仿宋_GBK"/>
                <w:w w:val="90"/>
                <w:sz w:val="28"/>
                <w:szCs w:val="28"/>
              </w:rPr>
              <w:t>遗体存放</w:t>
            </w:r>
          </w:p>
          <w:p w14:paraId="43120FC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rPr>
            </w:pPr>
            <w:r>
              <w:rPr>
                <w:rFonts w:hint="eastAsia" w:ascii="仿宋_GB2312" w:hAnsi="方正仿宋_GBK" w:eastAsia="仿宋_GB2312" w:cs="方正仿宋_GBK"/>
                <w:w w:val="90"/>
                <w:sz w:val="28"/>
                <w:szCs w:val="28"/>
              </w:rPr>
              <w:t>（冷藏）</w:t>
            </w:r>
          </w:p>
        </w:tc>
        <w:tc>
          <w:tcPr>
            <w:tcW w:w="1534" w:type="dxa"/>
            <w:noWrap w:val="0"/>
            <w:vAlign w:val="center"/>
          </w:tcPr>
          <w:p w14:paraId="6C56A85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格位</w:t>
            </w:r>
          </w:p>
        </w:tc>
        <w:tc>
          <w:tcPr>
            <w:tcW w:w="4822" w:type="dxa"/>
            <w:vMerge w:val="restart"/>
            <w:noWrap w:val="0"/>
            <w:vAlign w:val="center"/>
          </w:tcPr>
          <w:p w14:paraId="10419EB5">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rPr>
            </w:pPr>
            <w:r>
              <w:rPr>
                <w:rFonts w:hint="eastAsia" w:ascii="仿宋_GB2312" w:hAnsi="方正仿宋_GBK" w:eastAsia="仿宋_GB2312" w:cs="方正仿宋_GBK"/>
                <w:w w:val="90"/>
                <w:sz w:val="28"/>
                <w:szCs w:val="36"/>
              </w:rPr>
              <w:t>分为格位冷冻和冰棺冷藏。冰棺冷藏可区分馆内出租和馆外出租价格，馆外出租含冰棺运费。</w:t>
            </w:r>
          </w:p>
        </w:tc>
        <w:tc>
          <w:tcPr>
            <w:tcW w:w="1275" w:type="dxa"/>
            <w:vMerge w:val="restart"/>
            <w:noWrap w:val="0"/>
            <w:vAlign w:val="center"/>
          </w:tcPr>
          <w:p w14:paraId="3C967AA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36"/>
              </w:rPr>
            </w:pPr>
            <w:r>
              <w:rPr>
                <w:rFonts w:hint="eastAsia" w:ascii="仿宋_GB2312" w:hAnsi="方正仿宋_GBK" w:eastAsia="仿宋_GB2312" w:cs="方正仿宋_GBK"/>
                <w:w w:val="90"/>
                <w:sz w:val="28"/>
                <w:szCs w:val="36"/>
              </w:rPr>
              <w:t>元/天</w:t>
            </w:r>
          </w:p>
        </w:tc>
        <w:tc>
          <w:tcPr>
            <w:tcW w:w="1238" w:type="dxa"/>
            <w:noWrap w:val="0"/>
            <w:vAlign w:val="center"/>
          </w:tcPr>
          <w:p w14:paraId="5D893AD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36"/>
              </w:rPr>
            </w:pPr>
            <w:r>
              <w:rPr>
                <w:rFonts w:hint="eastAsia" w:ascii="仿宋_GB2312" w:hAnsi="方正仿宋_GBK" w:eastAsia="仿宋_GB2312" w:cs="方正仿宋_GBK"/>
                <w:w w:val="90"/>
                <w:sz w:val="28"/>
                <w:szCs w:val="36"/>
              </w:rPr>
              <w:t>42</w:t>
            </w:r>
          </w:p>
        </w:tc>
        <w:tc>
          <w:tcPr>
            <w:tcW w:w="1147" w:type="dxa"/>
            <w:vMerge w:val="continue"/>
            <w:noWrap w:val="0"/>
            <w:vAlign w:val="center"/>
          </w:tcPr>
          <w:p w14:paraId="2F34CDC2">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方正黑体_GBK" w:hAnsi="方正黑体_GBK" w:eastAsia="方正黑体_GBK" w:cs="方正黑体_GBK"/>
                <w:w w:val="90"/>
                <w:sz w:val="24"/>
                <w:szCs w:val="32"/>
              </w:rPr>
            </w:pPr>
          </w:p>
        </w:tc>
        <w:tc>
          <w:tcPr>
            <w:tcW w:w="1928" w:type="dxa"/>
            <w:vMerge w:val="restart"/>
            <w:noWrap w:val="0"/>
            <w:vAlign w:val="center"/>
          </w:tcPr>
          <w:p w14:paraId="4A4531A3">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方正黑体_GBK" w:hAnsi="方正黑体_GBK" w:eastAsia="方正黑体_GBK" w:cs="方正黑体_GBK"/>
                <w:w w:val="90"/>
                <w:sz w:val="24"/>
                <w:szCs w:val="32"/>
              </w:rPr>
            </w:pPr>
          </w:p>
        </w:tc>
      </w:tr>
      <w:tr w14:paraId="7F185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blHeader/>
          <w:jc w:val="center"/>
        </w:trPr>
        <w:tc>
          <w:tcPr>
            <w:tcW w:w="500" w:type="dxa"/>
            <w:vMerge w:val="continue"/>
            <w:noWrap w:val="0"/>
            <w:vAlign w:val="center"/>
          </w:tcPr>
          <w:p w14:paraId="4EFAF36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36"/>
              </w:rPr>
            </w:pPr>
          </w:p>
        </w:tc>
        <w:tc>
          <w:tcPr>
            <w:tcW w:w="982" w:type="dxa"/>
            <w:vMerge w:val="continue"/>
            <w:noWrap w:val="0"/>
            <w:vAlign w:val="center"/>
          </w:tcPr>
          <w:p w14:paraId="61611E1D">
            <w:pPr>
              <w:keepNext w:val="0"/>
              <w:keepLines w:val="0"/>
              <w:pageBreakBefore w:val="0"/>
              <w:widowControl w:val="0"/>
              <w:kinsoku/>
              <w:wordWrap/>
              <w:overflowPunct/>
              <w:topLinePunct w:val="0"/>
              <w:autoSpaceDE/>
              <w:autoSpaceDN/>
              <w:bidi w:val="0"/>
              <w:adjustRightInd/>
              <w:snapToGrid/>
              <w:spacing w:line="320" w:lineRule="exact"/>
              <w:jc w:val="left"/>
              <w:textAlignment w:val="auto"/>
              <w:rPr>
                <w:sz w:val="20"/>
                <w:szCs w:val="22"/>
              </w:rPr>
            </w:pPr>
          </w:p>
        </w:tc>
        <w:tc>
          <w:tcPr>
            <w:tcW w:w="1350" w:type="dxa"/>
            <w:vMerge w:val="continue"/>
            <w:noWrap w:val="0"/>
            <w:vAlign w:val="center"/>
          </w:tcPr>
          <w:p w14:paraId="44A2BF0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sz w:val="20"/>
                <w:szCs w:val="22"/>
              </w:rPr>
            </w:pPr>
          </w:p>
        </w:tc>
        <w:tc>
          <w:tcPr>
            <w:tcW w:w="1534" w:type="dxa"/>
            <w:noWrap w:val="0"/>
            <w:vAlign w:val="center"/>
          </w:tcPr>
          <w:p w14:paraId="198DB5A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eastAsia="宋体"/>
                <w:sz w:val="20"/>
                <w:szCs w:val="22"/>
                <w:lang w:eastAsia="zh-CN"/>
              </w:rPr>
            </w:pPr>
            <w:r>
              <w:rPr>
                <w:rFonts w:hint="eastAsia" w:ascii="仿宋_GB2312" w:hAnsi="方正仿宋_GBK" w:eastAsia="仿宋_GB2312" w:cs="方正仿宋_GBK"/>
                <w:w w:val="90"/>
                <w:sz w:val="28"/>
                <w:szCs w:val="28"/>
                <w:lang w:eastAsia="zh-CN"/>
              </w:rPr>
              <w:t>冰</w:t>
            </w:r>
            <w:r>
              <w:rPr>
                <w:rFonts w:hint="eastAsia" w:ascii="仿宋_GB2312" w:hAnsi="方正仿宋_GBK" w:cs="方正仿宋_GBK"/>
                <w:w w:val="90"/>
                <w:sz w:val="28"/>
                <w:szCs w:val="28"/>
                <w:lang w:eastAsia="zh-CN"/>
              </w:rPr>
              <w:t>棺</w:t>
            </w:r>
          </w:p>
        </w:tc>
        <w:tc>
          <w:tcPr>
            <w:tcW w:w="4822" w:type="dxa"/>
            <w:vMerge w:val="continue"/>
            <w:noWrap w:val="0"/>
            <w:vAlign w:val="center"/>
          </w:tcPr>
          <w:p w14:paraId="130C2455">
            <w:pPr>
              <w:keepNext w:val="0"/>
              <w:keepLines w:val="0"/>
              <w:pageBreakBefore w:val="0"/>
              <w:widowControl w:val="0"/>
              <w:kinsoku/>
              <w:wordWrap/>
              <w:overflowPunct/>
              <w:topLinePunct w:val="0"/>
              <w:autoSpaceDE/>
              <w:autoSpaceDN/>
              <w:bidi w:val="0"/>
              <w:adjustRightInd/>
              <w:snapToGrid/>
              <w:spacing w:line="320" w:lineRule="exact"/>
              <w:jc w:val="left"/>
              <w:textAlignment w:val="auto"/>
              <w:rPr>
                <w:sz w:val="20"/>
                <w:szCs w:val="22"/>
              </w:rPr>
            </w:pPr>
          </w:p>
        </w:tc>
        <w:tc>
          <w:tcPr>
            <w:tcW w:w="1275" w:type="dxa"/>
            <w:vMerge w:val="continue"/>
            <w:noWrap w:val="0"/>
            <w:vAlign w:val="center"/>
          </w:tcPr>
          <w:p w14:paraId="38F53FC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sz w:val="20"/>
                <w:szCs w:val="22"/>
              </w:rPr>
            </w:pPr>
          </w:p>
        </w:tc>
        <w:tc>
          <w:tcPr>
            <w:tcW w:w="1238" w:type="dxa"/>
            <w:noWrap w:val="0"/>
            <w:vAlign w:val="center"/>
          </w:tcPr>
          <w:p w14:paraId="57F15CD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36"/>
                <w:lang w:eastAsia="zh-CN"/>
              </w:rPr>
            </w:pPr>
            <w:r>
              <w:rPr>
                <w:rFonts w:hint="eastAsia" w:ascii="仿宋_GB2312" w:hAnsi="方正仿宋_GBK" w:eastAsia="仿宋_GB2312" w:cs="方正仿宋_GBK"/>
                <w:w w:val="90"/>
                <w:sz w:val="28"/>
                <w:szCs w:val="36"/>
              </w:rPr>
              <w:t>148</w:t>
            </w:r>
          </w:p>
        </w:tc>
        <w:tc>
          <w:tcPr>
            <w:tcW w:w="1147" w:type="dxa"/>
            <w:vMerge w:val="continue"/>
            <w:noWrap w:val="0"/>
            <w:vAlign w:val="center"/>
          </w:tcPr>
          <w:p w14:paraId="2343CDF7">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36"/>
                <w:lang w:eastAsia="zh-CN"/>
              </w:rPr>
            </w:pPr>
          </w:p>
        </w:tc>
        <w:tc>
          <w:tcPr>
            <w:tcW w:w="1928" w:type="dxa"/>
            <w:vMerge w:val="continue"/>
            <w:noWrap w:val="0"/>
            <w:vAlign w:val="center"/>
          </w:tcPr>
          <w:p w14:paraId="7EBDDB35">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36"/>
                <w:lang w:eastAsia="zh-CN"/>
              </w:rPr>
            </w:pPr>
          </w:p>
        </w:tc>
      </w:tr>
      <w:tr w14:paraId="28F78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blHeader/>
          <w:jc w:val="center"/>
        </w:trPr>
        <w:tc>
          <w:tcPr>
            <w:tcW w:w="500" w:type="dxa"/>
            <w:vMerge w:val="restart"/>
            <w:noWrap w:val="0"/>
            <w:vAlign w:val="center"/>
          </w:tcPr>
          <w:p w14:paraId="4AB19CF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方正仿宋_GBK" w:eastAsia="仿宋_GB2312" w:cs="方正仿宋_GBK"/>
                <w:w w:val="90"/>
                <w:sz w:val="28"/>
                <w:szCs w:val="36"/>
                <w:lang w:val="en-US" w:eastAsia="zh-CN"/>
              </w:rPr>
            </w:pPr>
            <w:r>
              <w:rPr>
                <w:rFonts w:hint="eastAsia" w:ascii="仿宋_GB2312" w:hAnsi="方正仿宋_GBK" w:eastAsia="仿宋_GB2312" w:cs="方正仿宋_GBK"/>
                <w:w w:val="90"/>
                <w:sz w:val="28"/>
                <w:szCs w:val="36"/>
                <w:lang w:val="en-US" w:eastAsia="zh-CN"/>
              </w:rPr>
              <w:t>3</w:t>
            </w:r>
          </w:p>
        </w:tc>
        <w:tc>
          <w:tcPr>
            <w:tcW w:w="982" w:type="dxa"/>
            <w:vMerge w:val="continue"/>
            <w:noWrap w:val="0"/>
            <w:vAlign w:val="center"/>
          </w:tcPr>
          <w:p w14:paraId="1748C6B8">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方正黑体_GBK" w:hAnsi="方正黑体_GBK" w:eastAsia="方正黑体_GBK" w:cs="方正黑体_GBK"/>
                <w:w w:val="90"/>
                <w:sz w:val="24"/>
                <w:szCs w:val="32"/>
                <w:lang w:eastAsia="zh-CN"/>
              </w:rPr>
            </w:pPr>
          </w:p>
        </w:tc>
        <w:tc>
          <w:tcPr>
            <w:tcW w:w="1350" w:type="dxa"/>
            <w:vMerge w:val="restart"/>
            <w:noWrap w:val="0"/>
            <w:vAlign w:val="center"/>
          </w:tcPr>
          <w:p w14:paraId="159E495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遗体告别</w:t>
            </w:r>
          </w:p>
        </w:tc>
        <w:tc>
          <w:tcPr>
            <w:tcW w:w="1534" w:type="dxa"/>
            <w:noWrap w:val="0"/>
            <w:vAlign w:val="center"/>
          </w:tcPr>
          <w:p w14:paraId="0BB159E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小厅</w:t>
            </w:r>
          </w:p>
        </w:tc>
        <w:tc>
          <w:tcPr>
            <w:tcW w:w="4822" w:type="dxa"/>
            <w:vMerge w:val="restart"/>
            <w:noWrap w:val="0"/>
            <w:vAlign w:val="center"/>
          </w:tcPr>
          <w:p w14:paraId="58FC5AAD">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殡仪馆提供的遗体吊唁服务，包括但不限于吊唁场地及氛围背景布置、设施设备使用费、水电费、人力成本，冷藏馆、绢花、花圈、胸花等租（售）服务，遗体基础的面部消毒、清洁、口眼闭合、发型服饰整理等服务。</w:t>
            </w:r>
          </w:p>
        </w:tc>
        <w:tc>
          <w:tcPr>
            <w:tcW w:w="1275" w:type="dxa"/>
            <w:vMerge w:val="restart"/>
            <w:noWrap w:val="0"/>
            <w:vAlign w:val="center"/>
          </w:tcPr>
          <w:p w14:paraId="787E951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36"/>
              </w:rPr>
            </w:pPr>
            <w:r>
              <w:rPr>
                <w:rFonts w:hint="eastAsia" w:ascii="仿宋_GB2312" w:hAnsi="方正仿宋_GBK" w:eastAsia="仿宋_GB2312" w:cs="方正仿宋_GBK"/>
                <w:w w:val="90"/>
                <w:sz w:val="28"/>
                <w:szCs w:val="36"/>
              </w:rPr>
              <w:t>元/小时</w:t>
            </w:r>
          </w:p>
          <w:p w14:paraId="5753384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36"/>
              </w:rPr>
            </w:pPr>
          </w:p>
        </w:tc>
        <w:tc>
          <w:tcPr>
            <w:tcW w:w="1238" w:type="dxa"/>
            <w:noWrap w:val="0"/>
            <w:vAlign w:val="center"/>
          </w:tcPr>
          <w:p w14:paraId="6B41B85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方正仿宋_GBK" w:eastAsia="仿宋_GB2312" w:cs="方正仿宋_GBK"/>
                <w:w w:val="90"/>
                <w:sz w:val="28"/>
                <w:szCs w:val="36"/>
                <w:lang w:val="en-US" w:eastAsia="zh-CN"/>
              </w:rPr>
            </w:pPr>
            <w:r>
              <w:rPr>
                <w:rFonts w:hint="eastAsia" w:ascii="仿宋_GB2312" w:hAnsi="方正仿宋_GBK" w:eastAsia="仿宋_GB2312" w:cs="方正仿宋_GBK"/>
                <w:w w:val="90"/>
                <w:sz w:val="28"/>
                <w:szCs w:val="36"/>
                <w:lang w:val="en-US" w:eastAsia="zh-CN"/>
              </w:rPr>
              <w:t>60</w:t>
            </w:r>
          </w:p>
        </w:tc>
        <w:tc>
          <w:tcPr>
            <w:tcW w:w="1147" w:type="dxa"/>
            <w:vMerge w:val="continue"/>
            <w:noWrap w:val="0"/>
            <w:vAlign w:val="center"/>
          </w:tcPr>
          <w:p w14:paraId="4999CA2A">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方正黑体_GBK" w:hAnsi="方正黑体_GBK" w:eastAsia="方正黑体_GBK" w:cs="方正黑体_GBK"/>
                <w:w w:val="90"/>
                <w:sz w:val="24"/>
                <w:szCs w:val="32"/>
              </w:rPr>
            </w:pPr>
          </w:p>
        </w:tc>
        <w:tc>
          <w:tcPr>
            <w:tcW w:w="1928" w:type="dxa"/>
            <w:vMerge w:val="restart"/>
            <w:noWrap w:val="0"/>
            <w:vAlign w:val="center"/>
          </w:tcPr>
          <w:p w14:paraId="11765041">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方正黑体_GBK" w:hAnsi="方正黑体_GBK" w:eastAsia="方正黑体_GBK" w:cs="方正黑体_GBK"/>
                <w:w w:val="90"/>
                <w:sz w:val="24"/>
                <w:szCs w:val="32"/>
                <w:lang w:val="en-US"/>
              </w:rPr>
            </w:pPr>
            <w:r>
              <w:rPr>
                <w:rFonts w:hint="eastAsia" w:ascii="仿宋_GB2312" w:hAnsi="方正仿宋_GBK" w:eastAsia="仿宋_GB2312" w:cs="方正仿宋_GBK"/>
                <w:w w:val="90"/>
                <w:sz w:val="18"/>
                <w:szCs w:val="18"/>
                <w:lang w:val="en-US" w:eastAsia="zh-CN"/>
              </w:rPr>
              <w:t>小厅面积200㎡以内，中厅面积201㎡-400㎡，大厅面积401㎡以上。租用以协议约定时间计费，不足1小时按1小时计</w:t>
            </w:r>
            <w:r>
              <w:rPr>
                <w:rFonts w:hint="eastAsia" w:ascii="仿宋_GB2312" w:hAnsi="方正仿宋_GBK" w:eastAsia="仿宋_GB2312" w:cs="方正仿宋_GBK"/>
                <w:w w:val="90"/>
                <w:sz w:val="20"/>
                <w:szCs w:val="20"/>
                <w:lang w:val="en-US" w:eastAsia="zh-CN"/>
              </w:rPr>
              <w:t>。守灵、告别一体厅单独用作守灵或告别场景时，分开计费</w:t>
            </w:r>
            <w:r>
              <w:rPr>
                <w:rFonts w:hint="eastAsia" w:ascii="仿宋_GB2312" w:hAnsi="方正仿宋_GBK" w:cs="方正仿宋_GBK"/>
                <w:w w:val="90"/>
                <w:sz w:val="20"/>
                <w:szCs w:val="20"/>
                <w:lang w:val="en-US" w:eastAsia="zh-CN"/>
              </w:rPr>
              <w:t>。</w:t>
            </w:r>
          </w:p>
        </w:tc>
      </w:tr>
      <w:tr w14:paraId="0A0C3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blHeader/>
          <w:jc w:val="center"/>
        </w:trPr>
        <w:tc>
          <w:tcPr>
            <w:tcW w:w="500" w:type="dxa"/>
            <w:vMerge w:val="continue"/>
            <w:noWrap w:val="0"/>
            <w:vAlign w:val="center"/>
          </w:tcPr>
          <w:p w14:paraId="6FF671B5">
            <w:pPr>
              <w:keepNext w:val="0"/>
              <w:keepLines w:val="0"/>
              <w:pageBreakBefore w:val="0"/>
              <w:widowControl w:val="0"/>
              <w:kinsoku/>
              <w:wordWrap/>
              <w:overflowPunct/>
              <w:topLinePunct w:val="0"/>
              <w:autoSpaceDE/>
              <w:autoSpaceDN/>
              <w:bidi w:val="0"/>
              <w:adjustRightInd/>
              <w:snapToGrid/>
              <w:spacing w:line="320" w:lineRule="exact"/>
              <w:jc w:val="left"/>
              <w:textAlignment w:val="auto"/>
              <w:rPr>
                <w:sz w:val="20"/>
                <w:szCs w:val="22"/>
              </w:rPr>
            </w:pPr>
          </w:p>
        </w:tc>
        <w:tc>
          <w:tcPr>
            <w:tcW w:w="982" w:type="dxa"/>
            <w:vMerge w:val="continue"/>
            <w:noWrap w:val="0"/>
            <w:vAlign w:val="center"/>
          </w:tcPr>
          <w:p w14:paraId="63017F52">
            <w:pPr>
              <w:keepNext w:val="0"/>
              <w:keepLines w:val="0"/>
              <w:pageBreakBefore w:val="0"/>
              <w:widowControl w:val="0"/>
              <w:kinsoku/>
              <w:wordWrap/>
              <w:overflowPunct/>
              <w:topLinePunct w:val="0"/>
              <w:autoSpaceDE/>
              <w:autoSpaceDN/>
              <w:bidi w:val="0"/>
              <w:adjustRightInd/>
              <w:snapToGrid/>
              <w:spacing w:line="320" w:lineRule="exact"/>
              <w:jc w:val="left"/>
              <w:textAlignment w:val="auto"/>
              <w:rPr>
                <w:sz w:val="20"/>
                <w:szCs w:val="22"/>
              </w:rPr>
            </w:pPr>
          </w:p>
        </w:tc>
        <w:tc>
          <w:tcPr>
            <w:tcW w:w="1350" w:type="dxa"/>
            <w:vMerge w:val="continue"/>
            <w:noWrap w:val="0"/>
            <w:vAlign w:val="center"/>
          </w:tcPr>
          <w:p w14:paraId="6D0B16F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sz w:val="20"/>
                <w:szCs w:val="22"/>
              </w:rPr>
            </w:pPr>
          </w:p>
        </w:tc>
        <w:tc>
          <w:tcPr>
            <w:tcW w:w="1534" w:type="dxa"/>
            <w:noWrap w:val="0"/>
            <w:vAlign w:val="center"/>
          </w:tcPr>
          <w:p w14:paraId="5EFF6A4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中厅</w:t>
            </w:r>
          </w:p>
        </w:tc>
        <w:tc>
          <w:tcPr>
            <w:tcW w:w="4822" w:type="dxa"/>
            <w:vMerge w:val="continue"/>
            <w:noWrap w:val="0"/>
            <w:vAlign w:val="center"/>
          </w:tcPr>
          <w:p w14:paraId="3EC66364">
            <w:pPr>
              <w:keepNext w:val="0"/>
              <w:keepLines w:val="0"/>
              <w:pageBreakBefore w:val="0"/>
              <w:widowControl w:val="0"/>
              <w:kinsoku/>
              <w:wordWrap/>
              <w:overflowPunct/>
              <w:topLinePunct w:val="0"/>
              <w:autoSpaceDE/>
              <w:autoSpaceDN/>
              <w:bidi w:val="0"/>
              <w:adjustRightInd/>
              <w:snapToGrid/>
              <w:spacing w:line="320" w:lineRule="exact"/>
              <w:jc w:val="left"/>
              <w:textAlignment w:val="auto"/>
              <w:rPr>
                <w:sz w:val="20"/>
                <w:szCs w:val="22"/>
              </w:rPr>
            </w:pPr>
          </w:p>
        </w:tc>
        <w:tc>
          <w:tcPr>
            <w:tcW w:w="1275" w:type="dxa"/>
            <w:vMerge w:val="continue"/>
            <w:noWrap w:val="0"/>
            <w:vAlign w:val="center"/>
          </w:tcPr>
          <w:p w14:paraId="22B25E1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sz w:val="20"/>
                <w:szCs w:val="22"/>
              </w:rPr>
            </w:pPr>
          </w:p>
        </w:tc>
        <w:tc>
          <w:tcPr>
            <w:tcW w:w="1238" w:type="dxa"/>
            <w:noWrap w:val="0"/>
            <w:vAlign w:val="center"/>
          </w:tcPr>
          <w:p w14:paraId="731B0C0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方正仿宋_GBK" w:eastAsia="仿宋_GB2312" w:cs="方正仿宋_GBK"/>
                <w:w w:val="90"/>
                <w:sz w:val="28"/>
                <w:szCs w:val="36"/>
                <w:lang w:val="en-US" w:eastAsia="zh-CN"/>
              </w:rPr>
            </w:pPr>
            <w:r>
              <w:rPr>
                <w:rFonts w:hint="eastAsia" w:ascii="仿宋_GB2312" w:hAnsi="方正仿宋_GBK" w:eastAsia="仿宋_GB2312" w:cs="方正仿宋_GBK"/>
                <w:w w:val="90"/>
                <w:sz w:val="28"/>
                <w:szCs w:val="36"/>
                <w:lang w:val="en-US" w:eastAsia="zh-CN"/>
              </w:rPr>
              <w:t>237</w:t>
            </w:r>
          </w:p>
        </w:tc>
        <w:tc>
          <w:tcPr>
            <w:tcW w:w="1147" w:type="dxa"/>
            <w:vMerge w:val="continue"/>
            <w:noWrap w:val="0"/>
            <w:vAlign w:val="center"/>
          </w:tcPr>
          <w:p w14:paraId="6D6B5A81">
            <w:pPr>
              <w:keepNext w:val="0"/>
              <w:keepLines w:val="0"/>
              <w:pageBreakBefore w:val="0"/>
              <w:widowControl w:val="0"/>
              <w:kinsoku/>
              <w:wordWrap/>
              <w:overflowPunct/>
              <w:topLinePunct w:val="0"/>
              <w:autoSpaceDE/>
              <w:autoSpaceDN/>
              <w:bidi w:val="0"/>
              <w:adjustRightInd/>
              <w:snapToGrid/>
              <w:spacing w:line="320" w:lineRule="exact"/>
              <w:jc w:val="left"/>
              <w:textAlignment w:val="auto"/>
              <w:rPr>
                <w:sz w:val="20"/>
                <w:szCs w:val="22"/>
              </w:rPr>
            </w:pPr>
          </w:p>
        </w:tc>
        <w:tc>
          <w:tcPr>
            <w:tcW w:w="1928" w:type="dxa"/>
            <w:vMerge w:val="continue"/>
            <w:noWrap w:val="0"/>
            <w:vAlign w:val="center"/>
          </w:tcPr>
          <w:p w14:paraId="2F1C70D4">
            <w:pPr>
              <w:keepNext w:val="0"/>
              <w:keepLines w:val="0"/>
              <w:pageBreakBefore w:val="0"/>
              <w:widowControl w:val="0"/>
              <w:kinsoku/>
              <w:wordWrap/>
              <w:overflowPunct/>
              <w:topLinePunct w:val="0"/>
              <w:autoSpaceDE/>
              <w:autoSpaceDN/>
              <w:bidi w:val="0"/>
              <w:adjustRightInd/>
              <w:snapToGrid/>
              <w:spacing w:line="320" w:lineRule="exact"/>
              <w:jc w:val="left"/>
              <w:textAlignment w:val="auto"/>
              <w:rPr>
                <w:sz w:val="20"/>
                <w:szCs w:val="22"/>
              </w:rPr>
            </w:pPr>
          </w:p>
        </w:tc>
      </w:tr>
      <w:tr w14:paraId="24D6C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tblHeader/>
          <w:jc w:val="center"/>
        </w:trPr>
        <w:tc>
          <w:tcPr>
            <w:tcW w:w="500" w:type="dxa"/>
            <w:vMerge w:val="continue"/>
            <w:noWrap w:val="0"/>
            <w:vAlign w:val="center"/>
          </w:tcPr>
          <w:p w14:paraId="2F53A276">
            <w:pPr>
              <w:keepNext w:val="0"/>
              <w:keepLines w:val="0"/>
              <w:pageBreakBefore w:val="0"/>
              <w:widowControl w:val="0"/>
              <w:kinsoku/>
              <w:wordWrap/>
              <w:overflowPunct/>
              <w:topLinePunct w:val="0"/>
              <w:autoSpaceDE/>
              <w:autoSpaceDN/>
              <w:bidi w:val="0"/>
              <w:adjustRightInd/>
              <w:snapToGrid/>
              <w:spacing w:line="320" w:lineRule="exact"/>
              <w:jc w:val="left"/>
              <w:textAlignment w:val="auto"/>
              <w:rPr>
                <w:sz w:val="20"/>
                <w:szCs w:val="22"/>
              </w:rPr>
            </w:pPr>
          </w:p>
        </w:tc>
        <w:tc>
          <w:tcPr>
            <w:tcW w:w="982" w:type="dxa"/>
            <w:vMerge w:val="continue"/>
            <w:noWrap w:val="0"/>
            <w:vAlign w:val="center"/>
          </w:tcPr>
          <w:p w14:paraId="49D0AB4D">
            <w:pPr>
              <w:keepNext w:val="0"/>
              <w:keepLines w:val="0"/>
              <w:pageBreakBefore w:val="0"/>
              <w:widowControl w:val="0"/>
              <w:kinsoku/>
              <w:wordWrap/>
              <w:overflowPunct/>
              <w:topLinePunct w:val="0"/>
              <w:autoSpaceDE/>
              <w:autoSpaceDN/>
              <w:bidi w:val="0"/>
              <w:adjustRightInd/>
              <w:snapToGrid/>
              <w:spacing w:line="320" w:lineRule="exact"/>
              <w:jc w:val="left"/>
              <w:textAlignment w:val="auto"/>
              <w:rPr>
                <w:sz w:val="20"/>
                <w:szCs w:val="22"/>
              </w:rPr>
            </w:pPr>
          </w:p>
        </w:tc>
        <w:tc>
          <w:tcPr>
            <w:tcW w:w="1350" w:type="dxa"/>
            <w:vMerge w:val="continue"/>
            <w:noWrap w:val="0"/>
            <w:vAlign w:val="center"/>
          </w:tcPr>
          <w:p w14:paraId="58B2DC4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sz w:val="20"/>
                <w:szCs w:val="22"/>
              </w:rPr>
            </w:pPr>
          </w:p>
        </w:tc>
        <w:tc>
          <w:tcPr>
            <w:tcW w:w="1534" w:type="dxa"/>
            <w:noWrap w:val="0"/>
            <w:vAlign w:val="center"/>
          </w:tcPr>
          <w:p w14:paraId="7E4EA23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大厅</w:t>
            </w:r>
          </w:p>
        </w:tc>
        <w:tc>
          <w:tcPr>
            <w:tcW w:w="4822" w:type="dxa"/>
            <w:vMerge w:val="continue"/>
            <w:noWrap w:val="0"/>
            <w:vAlign w:val="center"/>
          </w:tcPr>
          <w:p w14:paraId="76197A3A">
            <w:pPr>
              <w:keepNext w:val="0"/>
              <w:keepLines w:val="0"/>
              <w:pageBreakBefore w:val="0"/>
              <w:widowControl w:val="0"/>
              <w:kinsoku/>
              <w:wordWrap/>
              <w:overflowPunct/>
              <w:topLinePunct w:val="0"/>
              <w:autoSpaceDE/>
              <w:autoSpaceDN/>
              <w:bidi w:val="0"/>
              <w:adjustRightInd/>
              <w:snapToGrid/>
              <w:spacing w:line="320" w:lineRule="exact"/>
              <w:jc w:val="left"/>
              <w:textAlignment w:val="auto"/>
              <w:rPr>
                <w:sz w:val="20"/>
                <w:szCs w:val="22"/>
              </w:rPr>
            </w:pPr>
          </w:p>
        </w:tc>
        <w:tc>
          <w:tcPr>
            <w:tcW w:w="1275" w:type="dxa"/>
            <w:vMerge w:val="continue"/>
            <w:noWrap w:val="0"/>
            <w:vAlign w:val="center"/>
          </w:tcPr>
          <w:p w14:paraId="2E48EF5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sz w:val="20"/>
                <w:szCs w:val="22"/>
              </w:rPr>
            </w:pPr>
          </w:p>
        </w:tc>
        <w:tc>
          <w:tcPr>
            <w:tcW w:w="1238" w:type="dxa"/>
            <w:noWrap w:val="0"/>
            <w:vAlign w:val="center"/>
          </w:tcPr>
          <w:p w14:paraId="0C48370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方正仿宋_GBK" w:eastAsia="仿宋_GB2312" w:cs="方正仿宋_GBK"/>
                <w:w w:val="90"/>
                <w:sz w:val="28"/>
                <w:szCs w:val="36"/>
                <w:lang w:val="en-US" w:eastAsia="zh-CN"/>
              </w:rPr>
            </w:pPr>
            <w:r>
              <w:rPr>
                <w:rFonts w:hint="eastAsia" w:ascii="仿宋_GB2312" w:hAnsi="方正仿宋_GBK" w:eastAsia="仿宋_GB2312" w:cs="方正仿宋_GBK"/>
                <w:w w:val="90"/>
                <w:sz w:val="28"/>
                <w:szCs w:val="36"/>
                <w:lang w:val="en-US" w:eastAsia="zh-CN"/>
              </w:rPr>
              <w:t>500</w:t>
            </w:r>
          </w:p>
        </w:tc>
        <w:tc>
          <w:tcPr>
            <w:tcW w:w="1147" w:type="dxa"/>
            <w:vMerge w:val="continue"/>
            <w:noWrap w:val="0"/>
            <w:vAlign w:val="center"/>
          </w:tcPr>
          <w:p w14:paraId="0CA139DD">
            <w:pPr>
              <w:keepNext w:val="0"/>
              <w:keepLines w:val="0"/>
              <w:pageBreakBefore w:val="0"/>
              <w:widowControl w:val="0"/>
              <w:kinsoku/>
              <w:wordWrap/>
              <w:overflowPunct/>
              <w:topLinePunct w:val="0"/>
              <w:autoSpaceDE/>
              <w:autoSpaceDN/>
              <w:bidi w:val="0"/>
              <w:adjustRightInd/>
              <w:snapToGrid/>
              <w:spacing w:line="320" w:lineRule="exact"/>
              <w:jc w:val="left"/>
              <w:textAlignment w:val="auto"/>
              <w:rPr>
                <w:sz w:val="20"/>
                <w:szCs w:val="22"/>
              </w:rPr>
            </w:pPr>
          </w:p>
        </w:tc>
        <w:tc>
          <w:tcPr>
            <w:tcW w:w="1928" w:type="dxa"/>
            <w:vMerge w:val="continue"/>
            <w:noWrap w:val="0"/>
            <w:vAlign w:val="center"/>
          </w:tcPr>
          <w:p w14:paraId="2A90E96F">
            <w:pPr>
              <w:keepNext w:val="0"/>
              <w:keepLines w:val="0"/>
              <w:pageBreakBefore w:val="0"/>
              <w:widowControl w:val="0"/>
              <w:kinsoku/>
              <w:wordWrap/>
              <w:overflowPunct/>
              <w:topLinePunct w:val="0"/>
              <w:autoSpaceDE/>
              <w:autoSpaceDN/>
              <w:bidi w:val="0"/>
              <w:adjustRightInd/>
              <w:snapToGrid/>
              <w:spacing w:line="320" w:lineRule="exact"/>
              <w:jc w:val="left"/>
              <w:textAlignment w:val="auto"/>
              <w:rPr>
                <w:sz w:val="20"/>
                <w:szCs w:val="22"/>
              </w:rPr>
            </w:pPr>
          </w:p>
        </w:tc>
      </w:tr>
      <w:tr w14:paraId="01209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tblHeader/>
          <w:jc w:val="center"/>
        </w:trPr>
        <w:tc>
          <w:tcPr>
            <w:tcW w:w="500" w:type="dxa"/>
            <w:noWrap w:val="0"/>
            <w:vAlign w:val="center"/>
          </w:tcPr>
          <w:p w14:paraId="393F2A2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w w:val="90"/>
                <w:kern w:val="2"/>
                <w:sz w:val="40"/>
                <w:szCs w:val="48"/>
                <w:lang w:val="en-US" w:eastAsia="zh-CN" w:bidi="ar-SA"/>
              </w:rPr>
            </w:pPr>
            <w:r>
              <w:rPr>
                <w:rFonts w:hint="eastAsia" w:ascii="方正黑体_GBK" w:hAnsi="方正黑体_GBK" w:eastAsia="方正黑体_GBK" w:cs="方正黑体_GBK"/>
                <w:w w:val="90"/>
                <w:sz w:val="28"/>
                <w:szCs w:val="36"/>
              </w:rPr>
              <w:t>序号</w:t>
            </w:r>
          </w:p>
        </w:tc>
        <w:tc>
          <w:tcPr>
            <w:tcW w:w="982" w:type="dxa"/>
            <w:noWrap w:val="0"/>
            <w:vAlign w:val="center"/>
          </w:tcPr>
          <w:p w14:paraId="023D5CA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w w:val="90"/>
                <w:kern w:val="2"/>
                <w:sz w:val="28"/>
                <w:szCs w:val="36"/>
                <w:lang w:val="en-US" w:eastAsia="zh-CN" w:bidi="ar-SA"/>
              </w:rPr>
            </w:pPr>
            <w:r>
              <w:rPr>
                <w:rFonts w:hint="eastAsia" w:ascii="方正黑体_GBK" w:hAnsi="方正黑体_GBK" w:eastAsia="方正黑体_GBK" w:cs="方正黑体_GBK"/>
                <w:w w:val="90"/>
                <w:sz w:val="28"/>
                <w:szCs w:val="36"/>
              </w:rPr>
              <w:t>价格管理类型</w:t>
            </w:r>
          </w:p>
        </w:tc>
        <w:tc>
          <w:tcPr>
            <w:tcW w:w="2884" w:type="dxa"/>
            <w:gridSpan w:val="2"/>
            <w:noWrap w:val="0"/>
            <w:vAlign w:val="center"/>
          </w:tcPr>
          <w:p w14:paraId="4ADC501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w w:val="90"/>
                <w:kern w:val="2"/>
                <w:sz w:val="28"/>
                <w:szCs w:val="36"/>
                <w:lang w:val="en-US" w:eastAsia="zh-CN" w:bidi="ar-SA"/>
              </w:rPr>
            </w:pPr>
            <w:r>
              <w:rPr>
                <w:rFonts w:hint="eastAsia" w:ascii="方正黑体_GBK" w:hAnsi="方正黑体_GBK" w:eastAsia="方正黑体_GBK" w:cs="方正黑体_GBK"/>
                <w:w w:val="90"/>
                <w:sz w:val="28"/>
                <w:szCs w:val="36"/>
              </w:rPr>
              <w:t>服务项目</w:t>
            </w:r>
          </w:p>
        </w:tc>
        <w:tc>
          <w:tcPr>
            <w:tcW w:w="4822" w:type="dxa"/>
            <w:noWrap w:val="0"/>
            <w:vAlign w:val="center"/>
          </w:tcPr>
          <w:p w14:paraId="4CF143D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w w:val="90"/>
                <w:kern w:val="2"/>
                <w:sz w:val="28"/>
                <w:szCs w:val="36"/>
                <w:lang w:val="en-US" w:eastAsia="zh-CN" w:bidi="ar-SA"/>
              </w:rPr>
            </w:pPr>
            <w:r>
              <w:rPr>
                <w:rFonts w:hint="eastAsia" w:ascii="方正黑体_GBK" w:hAnsi="方正黑体_GBK" w:eastAsia="方正黑体_GBK" w:cs="方正黑体_GBK"/>
                <w:w w:val="90"/>
                <w:sz w:val="28"/>
                <w:szCs w:val="36"/>
              </w:rPr>
              <w:t>服务内容</w:t>
            </w:r>
          </w:p>
        </w:tc>
        <w:tc>
          <w:tcPr>
            <w:tcW w:w="1275" w:type="dxa"/>
            <w:noWrap w:val="0"/>
            <w:vAlign w:val="center"/>
          </w:tcPr>
          <w:p w14:paraId="27975D9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w w:val="90"/>
                <w:kern w:val="2"/>
                <w:sz w:val="28"/>
                <w:szCs w:val="36"/>
                <w:lang w:val="en-US" w:eastAsia="zh-CN" w:bidi="ar-SA"/>
              </w:rPr>
            </w:pPr>
            <w:r>
              <w:rPr>
                <w:rFonts w:hint="eastAsia" w:ascii="方正黑体_GBK" w:hAnsi="方正黑体_GBK" w:eastAsia="方正黑体_GBK" w:cs="方正黑体_GBK"/>
                <w:w w:val="90"/>
                <w:sz w:val="28"/>
                <w:szCs w:val="36"/>
                <w:lang w:eastAsia="zh-CN"/>
              </w:rPr>
              <w:t>计价单位</w:t>
            </w:r>
          </w:p>
        </w:tc>
        <w:tc>
          <w:tcPr>
            <w:tcW w:w="1238" w:type="dxa"/>
            <w:noWrap w:val="0"/>
            <w:vAlign w:val="center"/>
          </w:tcPr>
          <w:p w14:paraId="3A29F01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w w:val="90"/>
                <w:kern w:val="2"/>
                <w:sz w:val="28"/>
                <w:szCs w:val="36"/>
                <w:lang w:val="en-US" w:eastAsia="zh-CN" w:bidi="ar-SA"/>
              </w:rPr>
            </w:pPr>
            <w:r>
              <w:rPr>
                <w:rFonts w:hint="eastAsia" w:ascii="方正黑体_GBK" w:hAnsi="方正黑体_GBK" w:eastAsia="方正黑体_GBK" w:cs="方正黑体_GBK"/>
                <w:w w:val="90"/>
                <w:sz w:val="28"/>
                <w:szCs w:val="36"/>
              </w:rPr>
              <w:t>基准收费标准</w:t>
            </w:r>
          </w:p>
        </w:tc>
        <w:tc>
          <w:tcPr>
            <w:tcW w:w="1147" w:type="dxa"/>
            <w:noWrap w:val="0"/>
            <w:vAlign w:val="center"/>
          </w:tcPr>
          <w:p w14:paraId="724BCD5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w w:val="90"/>
                <w:kern w:val="2"/>
                <w:sz w:val="28"/>
                <w:szCs w:val="36"/>
                <w:lang w:val="en-US" w:eastAsia="zh-CN" w:bidi="ar-SA"/>
              </w:rPr>
            </w:pPr>
            <w:r>
              <w:rPr>
                <w:rFonts w:hint="eastAsia" w:ascii="方正黑体_GBK" w:hAnsi="方正黑体_GBK" w:eastAsia="方正黑体_GBK" w:cs="方正黑体_GBK"/>
                <w:w w:val="90"/>
                <w:sz w:val="28"/>
                <w:szCs w:val="36"/>
                <w:lang w:eastAsia="zh-CN"/>
              </w:rPr>
              <w:t>上下浮动幅度</w:t>
            </w:r>
          </w:p>
        </w:tc>
        <w:tc>
          <w:tcPr>
            <w:tcW w:w="1928" w:type="dxa"/>
            <w:noWrap w:val="0"/>
            <w:vAlign w:val="center"/>
          </w:tcPr>
          <w:p w14:paraId="371E252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w w:val="90"/>
                <w:kern w:val="2"/>
                <w:sz w:val="28"/>
                <w:szCs w:val="36"/>
                <w:lang w:val="en-US" w:eastAsia="zh-CN" w:bidi="ar-SA"/>
              </w:rPr>
            </w:pPr>
            <w:r>
              <w:rPr>
                <w:rFonts w:hint="eastAsia" w:ascii="方正黑体_GBK" w:hAnsi="方正黑体_GBK" w:eastAsia="方正黑体_GBK" w:cs="方正黑体_GBK"/>
                <w:w w:val="90"/>
                <w:sz w:val="28"/>
                <w:szCs w:val="36"/>
                <w:lang w:eastAsia="zh-CN"/>
              </w:rPr>
              <w:t>备注</w:t>
            </w:r>
          </w:p>
        </w:tc>
      </w:tr>
      <w:tr w14:paraId="45249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blHeader/>
          <w:jc w:val="center"/>
        </w:trPr>
        <w:tc>
          <w:tcPr>
            <w:tcW w:w="500" w:type="dxa"/>
            <w:vMerge w:val="restart"/>
            <w:noWrap w:val="0"/>
            <w:vAlign w:val="center"/>
          </w:tcPr>
          <w:p w14:paraId="007B829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方正仿宋_GBK" w:eastAsia="仿宋_GB2312" w:cs="方正仿宋_GBK"/>
                <w:w w:val="90"/>
                <w:sz w:val="28"/>
                <w:szCs w:val="36"/>
                <w:lang w:val="en-US" w:eastAsia="zh-CN"/>
              </w:rPr>
            </w:pPr>
            <w:r>
              <w:rPr>
                <w:rFonts w:hint="eastAsia" w:ascii="仿宋_GB2312" w:hAnsi="方正仿宋_GBK" w:eastAsia="仿宋_GB2312" w:cs="方正仿宋_GBK"/>
                <w:w w:val="90"/>
                <w:sz w:val="28"/>
                <w:szCs w:val="36"/>
                <w:lang w:val="en-US" w:eastAsia="zh-CN"/>
              </w:rPr>
              <w:t>4</w:t>
            </w:r>
          </w:p>
        </w:tc>
        <w:tc>
          <w:tcPr>
            <w:tcW w:w="982" w:type="dxa"/>
            <w:vMerge w:val="restart"/>
            <w:noWrap w:val="0"/>
            <w:vAlign w:val="center"/>
          </w:tcPr>
          <w:p w14:paraId="61400336">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方正黑体_GBK" w:hAnsi="方正黑体_GBK" w:eastAsia="方正黑体_GBK" w:cs="方正黑体_GBK"/>
                <w:w w:val="90"/>
                <w:sz w:val="24"/>
                <w:szCs w:val="32"/>
                <w:lang w:eastAsia="zh-CN"/>
              </w:rPr>
            </w:pPr>
            <w:r>
              <w:rPr>
                <w:rFonts w:hint="eastAsia" w:ascii="方正黑体_GBK" w:hAnsi="方正黑体_GBK" w:eastAsia="方正黑体_GBK" w:cs="方正黑体_GBK"/>
                <w:w w:val="90"/>
                <w:sz w:val="24"/>
                <w:szCs w:val="32"/>
                <w:lang w:eastAsia="zh-CN"/>
              </w:rPr>
              <w:t>基础项目：政府指导价</w:t>
            </w:r>
          </w:p>
        </w:tc>
        <w:tc>
          <w:tcPr>
            <w:tcW w:w="1350" w:type="dxa"/>
            <w:vMerge w:val="restart"/>
            <w:noWrap w:val="0"/>
            <w:vAlign w:val="center"/>
          </w:tcPr>
          <w:p w14:paraId="4DAB0F6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遗体火化</w:t>
            </w:r>
          </w:p>
        </w:tc>
        <w:tc>
          <w:tcPr>
            <w:tcW w:w="1534" w:type="dxa"/>
            <w:noWrap w:val="0"/>
            <w:vAlign w:val="center"/>
          </w:tcPr>
          <w:p w14:paraId="1C95E9B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36"/>
              </w:rPr>
              <w:t>平板炉</w:t>
            </w:r>
          </w:p>
        </w:tc>
        <w:tc>
          <w:tcPr>
            <w:tcW w:w="4822" w:type="dxa"/>
            <w:vMerge w:val="restart"/>
            <w:noWrap w:val="0"/>
            <w:vAlign w:val="center"/>
          </w:tcPr>
          <w:p w14:paraId="7C4F8ADA">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rPr>
            </w:pPr>
            <w:r>
              <w:rPr>
                <w:rFonts w:hint="eastAsia" w:ascii="仿宋_GB2312" w:hAnsi="方正仿宋_GBK" w:eastAsia="仿宋_GB2312" w:cs="方正仿宋_GBK"/>
                <w:w w:val="90"/>
                <w:sz w:val="28"/>
                <w:szCs w:val="28"/>
              </w:rPr>
              <w:t>遗体火化过程产生的设施和人力成本、耐火垫以及骨灰收纳等费用。可区分正常遗体火化和标本（含死胎、死婴、残肢）火化，可根据火化炉类型分类定价。</w:t>
            </w:r>
          </w:p>
        </w:tc>
        <w:tc>
          <w:tcPr>
            <w:tcW w:w="1275" w:type="dxa"/>
            <w:vMerge w:val="restart"/>
            <w:noWrap w:val="0"/>
            <w:vAlign w:val="center"/>
          </w:tcPr>
          <w:p w14:paraId="74750EF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36"/>
              </w:rPr>
            </w:pPr>
            <w:r>
              <w:rPr>
                <w:rFonts w:hint="eastAsia" w:ascii="仿宋_GB2312" w:hAnsi="方正仿宋_GBK" w:eastAsia="仿宋_GB2312" w:cs="方正仿宋_GBK"/>
                <w:w w:val="90"/>
                <w:sz w:val="28"/>
                <w:szCs w:val="36"/>
              </w:rPr>
              <w:t>元/具</w:t>
            </w:r>
          </w:p>
        </w:tc>
        <w:tc>
          <w:tcPr>
            <w:tcW w:w="1238" w:type="dxa"/>
            <w:noWrap w:val="0"/>
            <w:vAlign w:val="center"/>
          </w:tcPr>
          <w:p w14:paraId="312FB44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方正仿宋_GBK" w:eastAsia="仿宋_GB2312" w:cs="方正仿宋_GBK"/>
                <w:w w:val="90"/>
                <w:sz w:val="28"/>
                <w:szCs w:val="36"/>
                <w:lang w:val="en-US" w:eastAsia="zh-CN"/>
              </w:rPr>
            </w:pPr>
            <w:r>
              <w:rPr>
                <w:rFonts w:hint="eastAsia" w:ascii="仿宋_GB2312" w:hAnsi="方正仿宋_GBK" w:eastAsia="仿宋_GB2312" w:cs="方正仿宋_GBK"/>
                <w:w w:val="90"/>
                <w:sz w:val="28"/>
                <w:szCs w:val="36"/>
                <w:lang w:val="en-US" w:eastAsia="zh-CN"/>
              </w:rPr>
              <w:t>366</w:t>
            </w:r>
          </w:p>
        </w:tc>
        <w:tc>
          <w:tcPr>
            <w:tcW w:w="1147" w:type="dxa"/>
            <w:vMerge w:val="restart"/>
            <w:noWrap w:val="0"/>
            <w:vAlign w:val="center"/>
          </w:tcPr>
          <w:p w14:paraId="189D6DC7">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黑体_GBK" w:hAnsi="方正黑体_GBK" w:eastAsia="方正黑体_GBK" w:cs="方正黑体_GBK"/>
                <w:w w:val="90"/>
                <w:sz w:val="24"/>
                <w:szCs w:val="32"/>
              </w:rPr>
            </w:pPr>
            <w:r>
              <w:rPr>
                <w:rFonts w:hint="eastAsia" w:ascii="方正黑体_GBK" w:hAnsi="方正黑体_GBK" w:eastAsia="方正黑体_GBK" w:cs="方正黑体_GBK"/>
                <w:w w:val="90"/>
                <w:sz w:val="24"/>
                <w:szCs w:val="32"/>
              </w:rPr>
              <w:t>上浮不超过15%，下浮不限。</w:t>
            </w:r>
          </w:p>
        </w:tc>
        <w:tc>
          <w:tcPr>
            <w:tcW w:w="1928" w:type="dxa"/>
            <w:vMerge w:val="restart"/>
            <w:noWrap w:val="0"/>
            <w:vAlign w:val="center"/>
          </w:tcPr>
          <w:p w14:paraId="6642BD0D">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方正黑体_GBK" w:hAnsi="方正黑体_GBK" w:eastAsia="方正黑体_GBK" w:cs="方正黑体_GBK"/>
                <w:w w:val="90"/>
                <w:sz w:val="24"/>
                <w:szCs w:val="32"/>
              </w:rPr>
            </w:pPr>
          </w:p>
        </w:tc>
      </w:tr>
      <w:tr w14:paraId="03476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blHeader/>
          <w:jc w:val="center"/>
        </w:trPr>
        <w:tc>
          <w:tcPr>
            <w:tcW w:w="500" w:type="dxa"/>
            <w:vMerge w:val="continue"/>
            <w:noWrap w:val="0"/>
            <w:vAlign w:val="center"/>
          </w:tcPr>
          <w:p w14:paraId="49F5DE5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36"/>
                <w:lang w:val="en-US" w:eastAsia="zh-CN"/>
              </w:rPr>
            </w:pPr>
          </w:p>
        </w:tc>
        <w:tc>
          <w:tcPr>
            <w:tcW w:w="982" w:type="dxa"/>
            <w:vMerge w:val="continue"/>
            <w:noWrap w:val="0"/>
            <w:vAlign w:val="center"/>
          </w:tcPr>
          <w:p w14:paraId="3A289550">
            <w:pPr>
              <w:keepNext w:val="0"/>
              <w:keepLines w:val="0"/>
              <w:pageBreakBefore w:val="0"/>
              <w:widowControl w:val="0"/>
              <w:kinsoku/>
              <w:wordWrap/>
              <w:overflowPunct/>
              <w:topLinePunct w:val="0"/>
              <w:autoSpaceDE/>
              <w:autoSpaceDN/>
              <w:bidi w:val="0"/>
              <w:adjustRightInd/>
              <w:snapToGrid/>
              <w:spacing w:line="320" w:lineRule="exact"/>
              <w:jc w:val="left"/>
              <w:textAlignment w:val="auto"/>
              <w:rPr>
                <w:sz w:val="20"/>
                <w:szCs w:val="22"/>
              </w:rPr>
            </w:pPr>
          </w:p>
        </w:tc>
        <w:tc>
          <w:tcPr>
            <w:tcW w:w="1350" w:type="dxa"/>
            <w:vMerge w:val="continue"/>
            <w:noWrap w:val="0"/>
            <w:vAlign w:val="center"/>
          </w:tcPr>
          <w:p w14:paraId="63BDA00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sz w:val="20"/>
                <w:szCs w:val="22"/>
              </w:rPr>
            </w:pPr>
          </w:p>
        </w:tc>
        <w:tc>
          <w:tcPr>
            <w:tcW w:w="1534" w:type="dxa"/>
            <w:noWrap w:val="0"/>
            <w:vAlign w:val="center"/>
          </w:tcPr>
          <w:p w14:paraId="229261A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sz w:val="20"/>
                <w:szCs w:val="22"/>
              </w:rPr>
            </w:pPr>
            <w:r>
              <w:rPr>
                <w:rFonts w:hint="eastAsia" w:ascii="仿宋_GB2312" w:hAnsi="方正仿宋_GBK" w:eastAsia="仿宋_GB2312" w:cs="方正仿宋_GBK"/>
                <w:w w:val="90"/>
                <w:sz w:val="28"/>
                <w:szCs w:val="36"/>
              </w:rPr>
              <w:t>拣灰炉</w:t>
            </w:r>
          </w:p>
        </w:tc>
        <w:tc>
          <w:tcPr>
            <w:tcW w:w="4822" w:type="dxa"/>
            <w:vMerge w:val="continue"/>
            <w:noWrap w:val="0"/>
            <w:vAlign w:val="center"/>
          </w:tcPr>
          <w:p w14:paraId="4C15ABD4">
            <w:pPr>
              <w:keepNext w:val="0"/>
              <w:keepLines w:val="0"/>
              <w:pageBreakBefore w:val="0"/>
              <w:widowControl w:val="0"/>
              <w:kinsoku/>
              <w:wordWrap/>
              <w:overflowPunct/>
              <w:topLinePunct w:val="0"/>
              <w:autoSpaceDE/>
              <w:autoSpaceDN/>
              <w:bidi w:val="0"/>
              <w:adjustRightInd/>
              <w:snapToGrid/>
              <w:spacing w:line="320" w:lineRule="exact"/>
              <w:jc w:val="left"/>
              <w:textAlignment w:val="auto"/>
              <w:rPr>
                <w:sz w:val="20"/>
                <w:szCs w:val="22"/>
              </w:rPr>
            </w:pPr>
          </w:p>
        </w:tc>
        <w:tc>
          <w:tcPr>
            <w:tcW w:w="1275" w:type="dxa"/>
            <w:vMerge w:val="continue"/>
            <w:noWrap w:val="0"/>
            <w:vAlign w:val="center"/>
          </w:tcPr>
          <w:p w14:paraId="39C9D63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sz w:val="20"/>
                <w:szCs w:val="22"/>
              </w:rPr>
            </w:pPr>
          </w:p>
        </w:tc>
        <w:tc>
          <w:tcPr>
            <w:tcW w:w="1238" w:type="dxa"/>
            <w:noWrap w:val="0"/>
            <w:vAlign w:val="center"/>
          </w:tcPr>
          <w:p w14:paraId="34A9FC0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方正仿宋_GBK" w:eastAsia="仿宋_GB2312" w:cs="方正仿宋_GBK"/>
                <w:w w:val="90"/>
                <w:sz w:val="28"/>
                <w:szCs w:val="36"/>
                <w:lang w:val="en-US" w:eastAsia="zh-CN"/>
              </w:rPr>
            </w:pPr>
            <w:r>
              <w:rPr>
                <w:rFonts w:hint="eastAsia" w:ascii="仿宋_GB2312" w:hAnsi="方正仿宋_GBK" w:eastAsia="仿宋_GB2312" w:cs="方正仿宋_GBK"/>
                <w:w w:val="90"/>
                <w:sz w:val="28"/>
                <w:szCs w:val="36"/>
                <w:lang w:val="en-US" w:eastAsia="zh-CN"/>
              </w:rPr>
              <w:t>723</w:t>
            </w:r>
          </w:p>
        </w:tc>
        <w:tc>
          <w:tcPr>
            <w:tcW w:w="1147" w:type="dxa"/>
            <w:vMerge w:val="continue"/>
            <w:noWrap w:val="0"/>
            <w:vAlign w:val="center"/>
          </w:tcPr>
          <w:p w14:paraId="7BE27545">
            <w:pPr>
              <w:keepNext w:val="0"/>
              <w:keepLines w:val="0"/>
              <w:pageBreakBefore w:val="0"/>
              <w:widowControl w:val="0"/>
              <w:kinsoku/>
              <w:wordWrap/>
              <w:overflowPunct/>
              <w:topLinePunct w:val="0"/>
              <w:autoSpaceDE/>
              <w:autoSpaceDN/>
              <w:bidi w:val="0"/>
              <w:adjustRightInd/>
              <w:snapToGrid/>
              <w:spacing w:line="320" w:lineRule="exact"/>
              <w:jc w:val="left"/>
              <w:textAlignment w:val="auto"/>
              <w:rPr>
                <w:sz w:val="20"/>
                <w:szCs w:val="22"/>
              </w:rPr>
            </w:pPr>
          </w:p>
        </w:tc>
        <w:tc>
          <w:tcPr>
            <w:tcW w:w="1928" w:type="dxa"/>
            <w:vMerge w:val="continue"/>
            <w:noWrap w:val="0"/>
            <w:vAlign w:val="center"/>
          </w:tcPr>
          <w:p w14:paraId="2A33E8B4">
            <w:pPr>
              <w:keepNext w:val="0"/>
              <w:keepLines w:val="0"/>
              <w:pageBreakBefore w:val="0"/>
              <w:widowControl w:val="0"/>
              <w:kinsoku/>
              <w:wordWrap/>
              <w:overflowPunct/>
              <w:topLinePunct w:val="0"/>
              <w:autoSpaceDE/>
              <w:autoSpaceDN/>
              <w:bidi w:val="0"/>
              <w:adjustRightInd/>
              <w:snapToGrid/>
              <w:spacing w:line="320" w:lineRule="exact"/>
              <w:jc w:val="left"/>
              <w:textAlignment w:val="auto"/>
              <w:rPr>
                <w:sz w:val="20"/>
                <w:szCs w:val="22"/>
              </w:rPr>
            </w:pPr>
          </w:p>
        </w:tc>
      </w:tr>
      <w:tr w14:paraId="451DB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blHeader/>
          <w:jc w:val="center"/>
        </w:trPr>
        <w:tc>
          <w:tcPr>
            <w:tcW w:w="500" w:type="dxa"/>
            <w:vMerge w:val="continue"/>
            <w:noWrap w:val="0"/>
            <w:vAlign w:val="center"/>
          </w:tcPr>
          <w:p w14:paraId="215B1E8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36"/>
                <w:lang w:val="en-US" w:eastAsia="zh-CN"/>
              </w:rPr>
            </w:pPr>
          </w:p>
        </w:tc>
        <w:tc>
          <w:tcPr>
            <w:tcW w:w="982" w:type="dxa"/>
            <w:vMerge w:val="continue"/>
            <w:noWrap w:val="0"/>
            <w:vAlign w:val="center"/>
          </w:tcPr>
          <w:p w14:paraId="3D477418">
            <w:pPr>
              <w:keepNext w:val="0"/>
              <w:keepLines w:val="0"/>
              <w:pageBreakBefore w:val="0"/>
              <w:widowControl w:val="0"/>
              <w:kinsoku/>
              <w:wordWrap/>
              <w:overflowPunct/>
              <w:topLinePunct w:val="0"/>
              <w:autoSpaceDE/>
              <w:autoSpaceDN/>
              <w:bidi w:val="0"/>
              <w:adjustRightInd/>
              <w:snapToGrid/>
              <w:spacing w:line="320" w:lineRule="exact"/>
              <w:jc w:val="left"/>
              <w:textAlignment w:val="auto"/>
              <w:rPr>
                <w:sz w:val="20"/>
                <w:szCs w:val="22"/>
              </w:rPr>
            </w:pPr>
          </w:p>
        </w:tc>
        <w:tc>
          <w:tcPr>
            <w:tcW w:w="1350" w:type="dxa"/>
            <w:vMerge w:val="continue"/>
            <w:noWrap w:val="0"/>
            <w:vAlign w:val="center"/>
          </w:tcPr>
          <w:p w14:paraId="6AB7A8F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sz w:val="20"/>
                <w:szCs w:val="22"/>
              </w:rPr>
            </w:pPr>
          </w:p>
        </w:tc>
        <w:tc>
          <w:tcPr>
            <w:tcW w:w="1534" w:type="dxa"/>
            <w:noWrap w:val="0"/>
            <w:vAlign w:val="center"/>
          </w:tcPr>
          <w:p w14:paraId="767DBEE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sz w:val="20"/>
                <w:szCs w:val="22"/>
              </w:rPr>
            </w:pPr>
            <w:r>
              <w:rPr>
                <w:rFonts w:hint="eastAsia" w:ascii="仿宋_GB2312" w:hAnsi="方正仿宋_GBK" w:eastAsia="仿宋_GB2312" w:cs="方正仿宋_GBK"/>
                <w:w w:val="90"/>
                <w:sz w:val="28"/>
                <w:szCs w:val="36"/>
              </w:rPr>
              <w:t>标本火化</w:t>
            </w:r>
          </w:p>
        </w:tc>
        <w:tc>
          <w:tcPr>
            <w:tcW w:w="4822" w:type="dxa"/>
            <w:vMerge w:val="continue"/>
            <w:noWrap w:val="0"/>
            <w:vAlign w:val="center"/>
          </w:tcPr>
          <w:p w14:paraId="6C4E662F">
            <w:pPr>
              <w:keepNext w:val="0"/>
              <w:keepLines w:val="0"/>
              <w:pageBreakBefore w:val="0"/>
              <w:widowControl w:val="0"/>
              <w:kinsoku/>
              <w:wordWrap/>
              <w:overflowPunct/>
              <w:topLinePunct w:val="0"/>
              <w:autoSpaceDE/>
              <w:autoSpaceDN/>
              <w:bidi w:val="0"/>
              <w:adjustRightInd/>
              <w:snapToGrid/>
              <w:spacing w:line="320" w:lineRule="exact"/>
              <w:jc w:val="left"/>
              <w:textAlignment w:val="auto"/>
              <w:rPr>
                <w:sz w:val="20"/>
                <w:szCs w:val="22"/>
              </w:rPr>
            </w:pPr>
          </w:p>
        </w:tc>
        <w:tc>
          <w:tcPr>
            <w:tcW w:w="1275" w:type="dxa"/>
            <w:vMerge w:val="continue"/>
            <w:noWrap w:val="0"/>
            <w:vAlign w:val="center"/>
          </w:tcPr>
          <w:p w14:paraId="2762ADF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sz w:val="20"/>
                <w:szCs w:val="22"/>
              </w:rPr>
            </w:pPr>
          </w:p>
        </w:tc>
        <w:tc>
          <w:tcPr>
            <w:tcW w:w="1238" w:type="dxa"/>
            <w:noWrap w:val="0"/>
            <w:vAlign w:val="center"/>
          </w:tcPr>
          <w:p w14:paraId="7A35D53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方正仿宋_GBK" w:eastAsia="仿宋_GB2312" w:cs="方正仿宋_GBK"/>
                <w:w w:val="90"/>
                <w:sz w:val="28"/>
                <w:szCs w:val="36"/>
                <w:lang w:val="en-US" w:eastAsia="zh-CN"/>
              </w:rPr>
            </w:pPr>
            <w:r>
              <w:rPr>
                <w:rFonts w:hint="eastAsia" w:ascii="仿宋_GB2312" w:hAnsi="方正仿宋_GBK" w:eastAsia="仿宋_GB2312" w:cs="方正仿宋_GBK"/>
                <w:w w:val="90"/>
                <w:sz w:val="28"/>
                <w:szCs w:val="36"/>
                <w:lang w:val="en-US" w:eastAsia="zh-CN"/>
              </w:rPr>
              <w:t>105</w:t>
            </w:r>
          </w:p>
        </w:tc>
        <w:tc>
          <w:tcPr>
            <w:tcW w:w="1147" w:type="dxa"/>
            <w:vMerge w:val="continue"/>
            <w:noWrap w:val="0"/>
            <w:vAlign w:val="center"/>
          </w:tcPr>
          <w:p w14:paraId="50F5D978">
            <w:pPr>
              <w:keepNext w:val="0"/>
              <w:keepLines w:val="0"/>
              <w:pageBreakBefore w:val="0"/>
              <w:widowControl w:val="0"/>
              <w:kinsoku/>
              <w:wordWrap/>
              <w:overflowPunct/>
              <w:topLinePunct w:val="0"/>
              <w:autoSpaceDE/>
              <w:autoSpaceDN/>
              <w:bidi w:val="0"/>
              <w:adjustRightInd/>
              <w:snapToGrid/>
              <w:spacing w:line="320" w:lineRule="exact"/>
              <w:jc w:val="left"/>
              <w:textAlignment w:val="auto"/>
              <w:rPr>
                <w:sz w:val="20"/>
                <w:szCs w:val="22"/>
              </w:rPr>
            </w:pPr>
          </w:p>
        </w:tc>
        <w:tc>
          <w:tcPr>
            <w:tcW w:w="1928" w:type="dxa"/>
            <w:vMerge w:val="continue"/>
            <w:noWrap w:val="0"/>
            <w:vAlign w:val="center"/>
          </w:tcPr>
          <w:p w14:paraId="044C3737">
            <w:pPr>
              <w:keepNext w:val="0"/>
              <w:keepLines w:val="0"/>
              <w:pageBreakBefore w:val="0"/>
              <w:widowControl w:val="0"/>
              <w:kinsoku/>
              <w:wordWrap/>
              <w:overflowPunct/>
              <w:topLinePunct w:val="0"/>
              <w:autoSpaceDE/>
              <w:autoSpaceDN/>
              <w:bidi w:val="0"/>
              <w:adjustRightInd/>
              <w:snapToGrid/>
              <w:spacing w:line="320" w:lineRule="exact"/>
              <w:jc w:val="left"/>
              <w:textAlignment w:val="auto"/>
              <w:rPr>
                <w:sz w:val="20"/>
                <w:szCs w:val="22"/>
              </w:rPr>
            </w:pPr>
          </w:p>
        </w:tc>
      </w:tr>
      <w:tr w14:paraId="77B12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blHeader/>
          <w:jc w:val="center"/>
        </w:trPr>
        <w:tc>
          <w:tcPr>
            <w:tcW w:w="500" w:type="dxa"/>
            <w:noWrap w:val="0"/>
            <w:vAlign w:val="center"/>
          </w:tcPr>
          <w:p w14:paraId="3717A53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36"/>
                <w:lang w:val="en-US" w:eastAsia="zh-CN"/>
              </w:rPr>
            </w:pPr>
            <w:r>
              <w:rPr>
                <w:rFonts w:hint="eastAsia" w:ascii="仿宋_GB2312" w:hAnsi="方正仿宋_GBK" w:eastAsia="仿宋_GB2312" w:cs="方正仿宋_GBK"/>
                <w:w w:val="90"/>
                <w:sz w:val="28"/>
                <w:szCs w:val="36"/>
                <w:lang w:val="en-US" w:eastAsia="zh-CN"/>
              </w:rPr>
              <w:t>5</w:t>
            </w:r>
          </w:p>
        </w:tc>
        <w:tc>
          <w:tcPr>
            <w:tcW w:w="982" w:type="dxa"/>
            <w:vMerge w:val="continue"/>
            <w:noWrap w:val="0"/>
            <w:vAlign w:val="center"/>
          </w:tcPr>
          <w:p w14:paraId="0A3BB794">
            <w:pPr>
              <w:keepNext w:val="0"/>
              <w:keepLines w:val="0"/>
              <w:pageBreakBefore w:val="0"/>
              <w:widowControl w:val="0"/>
              <w:kinsoku/>
              <w:wordWrap/>
              <w:overflowPunct/>
              <w:topLinePunct w:val="0"/>
              <w:autoSpaceDE/>
              <w:autoSpaceDN/>
              <w:bidi w:val="0"/>
              <w:adjustRightInd/>
              <w:snapToGrid/>
              <w:spacing w:line="320" w:lineRule="exact"/>
              <w:jc w:val="left"/>
              <w:textAlignment w:val="auto"/>
              <w:rPr>
                <w:sz w:val="20"/>
                <w:szCs w:val="22"/>
              </w:rPr>
            </w:pPr>
          </w:p>
        </w:tc>
        <w:tc>
          <w:tcPr>
            <w:tcW w:w="2884" w:type="dxa"/>
            <w:gridSpan w:val="2"/>
            <w:noWrap w:val="0"/>
            <w:vAlign w:val="center"/>
          </w:tcPr>
          <w:p w14:paraId="5F45DB1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rPr>
            </w:pPr>
            <w:r>
              <w:rPr>
                <w:rFonts w:hint="eastAsia" w:ascii="仿宋_GB2312" w:hAnsi="方正仿宋_GBK" w:eastAsia="仿宋_GB2312" w:cs="方正仿宋_GBK"/>
                <w:w w:val="90"/>
                <w:sz w:val="28"/>
                <w:szCs w:val="28"/>
                <w:lang w:eastAsia="zh-CN"/>
              </w:rPr>
              <w:t>骨灰寄存</w:t>
            </w:r>
          </w:p>
        </w:tc>
        <w:tc>
          <w:tcPr>
            <w:tcW w:w="4822" w:type="dxa"/>
            <w:noWrap w:val="0"/>
            <w:vAlign w:val="center"/>
          </w:tcPr>
          <w:p w14:paraId="5F25D581">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rPr>
            </w:pPr>
            <w:r>
              <w:rPr>
                <w:rFonts w:hint="eastAsia" w:ascii="仿宋_GB2312" w:hAnsi="方正仿宋_GBK" w:eastAsia="仿宋_GB2312" w:cs="方正仿宋_GBK"/>
                <w:w w:val="90"/>
                <w:sz w:val="28"/>
                <w:szCs w:val="28"/>
              </w:rPr>
              <w:t>在各殡仪馆内按约定期限存放骨灰。</w:t>
            </w:r>
          </w:p>
        </w:tc>
        <w:tc>
          <w:tcPr>
            <w:tcW w:w="1275" w:type="dxa"/>
            <w:noWrap w:val="0"/>
            <w:vAlign w:val="center"/>
          </w:tcPr>
          <w:p w14:paraId="1CD1FFA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rPr>
            </w:pPr>
            <w:r>
              <w:rPr>
                <w:rFonts w:hint="eastAsia" w:ascii="仿宋_GB2312" w:hAnsi="方正仿宋_GBK" w:eastAsia="仿宋_GB2312" w:cs="方正仿宋_GBK"/>
                <w:w w:val="90"/>
                <w:sz w:val="28"/>
                <w:szCs w:val="28"/>
              </w:rPr>
              <w:t>元/月</w:t>
            </w:r>
          </w:p>
        </w:tc>
        <w:tc>
          <w:tcPr>
            <w:tcW w:w="1238" w:type="dxa"/>
            <w:noWrap w:val="0"/>
            <w:vAlign w:val="center"/>
          </w:tcPr>
          <w:p w14:paraId="7A5DF26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方正仿宋_GBK" w:eastAsia="仿宋_GB2312" w:cs="方正仿宋_GBK"/>
                <w:w w:val="90"/>
                <w:sz w:val="28"/>
                <w:szCs w:val="28"/>
                <w:lang w:val="en-US" w:eastAsia="zh-CN"/>
              </w:rPr>
            </w:pPr>
            <w:r>
              <w:rPr>
                <w:rFonts w:hint="eastAsia" w:ascii="仿宋_GB2312" w:hAnsi="方正仿宋_GBK" w:eastAsia="仿宋_GB2312" w:cs="方正仿宋_GBK"/>
                <w:w w:val="90"/>
                <w:sz w:val="28"/>
                <w:szCs w:val="28"/>
                <w:lang w:val="en-US" w:eastAsia="zh-CN"/>
              </w:rPr>
              <w:t>12</w:t>
            </w:r>
          </w:p>
        </w:tc>
        <w:tc>
          <w:tcPr>
            <w:tcW w:w="1147" w:type="dxa"/>
            <w:vMerge w:val="continue"/>
            <w:noWrap w:val="0"/>
            <w:vAlign w:val="center"/>
          </w:tcPr>
          <w:p w14:paraId="1C8DA44E">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rPr>
            </w:pPr>
          </w:p>
        </w:tc>
        <w:tc>
          <w:tcPr>
            <w:tcW w:w="1928" w:type="dxa"/>
            <w:noWrap w:val="0"/>
            <w:vAlign w:val="center"/>
          </w:tcPr>
          <w:p w14:paraId="3C47384D">
            <w:pPr>
              <w:keepNext w:val="0"/>
              <w:keepLines w:val="0"/>
              <w:pageBreakBefore w:val="0"/>
              <w:widowControl w:val="0"/>
              <w:kinsoku/>
              <w:wordWrap/>
              <w:overflowPunct/>
              <w:topLinePunct w:val="0"/>
              <w:autoSpaceDE/>
              <w:autoSpaceDN/>
              <w:bidi w:val="0"/>
              <w:adjustRightInd/>
              <w:snapToGrid/>
              <w:spacing w:line="320" w:lineRule="exact"/>
              <w:jc w:val="left"/>
              <w:textAlignment w:val="auto"/>
              <w:rPr>
                <w:sz w:val="20"/>
                <w:szCs w:val="22"/>
              </w:rPr>
            </w:pPr>
          </w:p>
        </w:tc>
      </w:tr>
      <w:tr w14:paraId="7B5B0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tblHeader/>
          <w:jc w:val="center"/>
        </w:trPr>
        <w:tc>
          <w:tcPr>
            <w:tcW w:w="500" w:type="dxa"/>
            <w:noWrap w:val="0"/>
            <w:vAlign w:val="center"/>
          </w:tcPr>
          <w:p w14:paraId="6D09ED0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36"/>
                <w:lang w:val="en-US" w:eastAsia="zh-CN"/>
              </w:rPr>
            </w:pPr>
            <w:r>
              <w:rPr>
                <w:rFonts w:hint="eastAsia" w:ascii="仿宋_GB2312" w:hAnsi="方正仿宋_GBK" w:eastAsia="仿宋_GB2312" w:cs="方正仿宋_GBK"/>
                <w:w w:val="90"/>
                <w:sz w:val="28"/>
                <w:szCs w:val="36"/>
                <w:lang w:val="en-US" w:eastAsia="zh-CN"/>
              </w:rPr>
              <w:t>6</w:t>
            </w:r>
          </w:p>
        </w:tc>
        <w:tc>
          <w:tcPr>
            <w:tcW w:w="982" w:type="dxa"/>
            <w:vMerge w:val="continue"/>
            <w:noWrap w:val="0"/>
            <w:vAlign w:val="center"/>
          </w:tcPr>
          <w:p w14:paraId="335D13B1">
            <w:pPr>
              <w:keepNext w:val="0"/>
              <w:keepLines w:val="0"/>
              <w:pageBreakBefore w:val="0"/>
              <w:widowControl w:val="0"/>
              <w:kinsoku/>
              <w:wordWrap/>
              <w:overflowPunct/>
              <w:topLinePunct w:val="0"/>
              <w:autoSpaceDE/>
              <w:autoSpaceDN/>
              <w:bidi w:val="0"/>
              <w:adjustRightInd/>
              <w:snapToGrid/>
              <w:spacing w:line="320" w:lineRule="exact"/>
              <w:jc w:val="left"/>
              <w:textAlignment w:val="auto"/>
              <w:rPr>
                <w:sz w:val="20"/>
                <w:szCs w:val="22"/>
              </w:rPr>
            </w:pPr>
          </w:p>
        </w:tc>
        <w:tc>
          <w:tcPr>
            <w:tcW w:w="2884" w:type="dxa"/>
            <w:gridSpan w:val="2"/>
            <w:noWrap w:val="0"/>
            <w:vAlign w:val="center"/>
          </w:tcPr>
          <w:p w14:paraId="293F8F6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生态安葬</w:t>
            </w:r>
          </w:p>
        </w:tc>
        <w:tc>
          <w:tcPr>
            <w:tcW w:w="4822" w:type="dxa"/>
            <w:noWrap w:val="0"/>
            <w:vAlign w:val="center"/>
          </w:tcPr>
          <w:p w14:paraId="57317E8F">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以水葬、树葬、花葬、草坪葬等不保留骨灰的方式处置骨灰。</w:t>
            </w:r>
          </w:p>
        </w:tc>
        <w:tc>
          <w:tcPr>
            <w:tcW w:w="1275" w:type="dxa"/>
            <w:noWrap w:val="0"/>
            <w:vAlign w:val="center"/>
          </w:tcPr>
          <w:p w14:paraId="12B53BE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rPr>
              <w:t>元/</w:t>
            </w:r>
            <w:r>
              <w:rPr>
                <w:rFonts w:hint="eastAsia" w:ascii="仿宋_GB2312" w:hAnsi="方正仿宋_GBK" w:eastAsia="仿宋_GB2312" w:cs="方正仿宋_GBK"/>
                <w:w w:val="90"/>
                <w:sz w:val="28"/>
                <w:szCs w:val="28"/>
                <w:lang w:eastAsia="zh-CN"/>
              </w:rPr>
              <w:t>次</w:t>
            </w:r>
          </w:p>
        </w:tc>
        <w:tc>
          <w:tcPr>
            <w:tcW w:w="1238" w:type="dxa"/>
            <w:noWrap w:val="0"/>
            <w:vAlign w:val="center"/>
          </w:tcPr>
          <w:p w14:paraId="30B68C2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val="en-US" w:eastAsia="zh-CN"/>
              </w:rPr>
            </w:pPr>
            <w:r>
              <w:rPr>
                <w:rFonts w:hint="eastAsia" w:ascii="仿宋_GB2312" w:hAnsi="方正仿宋_GBK" w:eastAsia="仿宋_GB2312" w:cs="方正仿宋_GBK"/>
                <w:w w:val="90"/>
                <w:sz w:val="28"/>
                <w:szCs w:val="28"/>
                <w:lang w:val="en-US" w:eastAsia="zh-CN"/>
              </w:rPr>
              <w:t>免费</w:t>
            </w:r>
          </w:p>
        </w:tc>
        <w:tc>
          <w:tcPr>
            <w:tcW w:w="1147" w:type="dxa"/>
            <w:vMerge w:val="continue"/>
            <w:noWrap w:val="0"/>
            <w:vAlign w:val="center"/>
          </w:tcPr>
          <w:p w14:paraId="391DCF95">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rPr>
            </w:pPr>
          </w:p>
        </w:tc>
        <w:tc>
          <w:tcPr>
            <w:tcW w:w="1928" w:type="dxa"/>
            <w:noWrap w:val="0"/>
            <w:vAlign w:val="center"/>
          </w:tcPr>
          <w:p w14:paraId="013C2C85">
            <w:pPr>
              <w:keepNext w:val="0"/>
              <w:keepLines w:val="0"/>
              <w:pageBreakBefore w:val="0"/>
              <w:widowControl w:val="0"/>
              <w:kinsoku/>
              <w:wordWrap/>
              <w:overflowPunct/>
              <w:topLinePunct w:val="0"/>
              <w:autoSpaceDE/>
              <w:autoSpaceDN/>
              <w:bidi w:val="0"/>
              <w:adjustRightInd/>
              <w:snapToGrid/>
              <w:spacing w:line="320" w:lineRule="exact"/>
              <w:jc w:val="left"/>
              <w:textAlignment w:val="auto"/>
              <w:rPr>
                <w:sz w:val="20"/>
                <w:szCs w:val="22"/>
              </w:rPr>
            </w:pPr>
          </w:p>
        </w:tc>
      </w:tr>
      <w:tr w14:paraId="18408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5" w:hRule="atLeast"/>
          <w:tblHeader/>
          <w:jc w:val="center"/>
        </w:trPr>
        <w:tc>
          <w:tcPr>
            <w:tcW w:w="500" w:type="dxa"/>
            <w:vMerge w:val="restart"/>
            <w:noWrap w:val="0"/>
            <w:vAlign w:val="center"/>
          </w:tcPr>
          <w:p w14:paraId="4B40FE8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36"/>
                <w:lang w:val="en-US" w:eastAsia="zh-CN"/>
              </w:rPr>
            </w:pPr>
            <w:r>
              <w:rPr>
                <w:rFonts w:hint="eastAsia" w:ascii="仿宋_GB2312" w:hAnsi="方正仿宋_GBK" w:eastAsia="仿宋_GB2312" w:cs="方正仿宋_GBK"/>
                <w:w w:val="90"/>
                <w:sz w:val="28"/>
                <w:szCs w:val="36"/>
                <w:lang w:val="en-US" w:eastAsia="zh-CN"/>
              </w:rPr>
              <w:t>7</w:t>
            </w:r>
          </w:p>
        </w:tc>
        <w:tc>
          <w:tcPr>
            <w:tcW w:w="982" w:type="dxa"/>
            <w:vMerge w:val="continue"/>
            <w:noWrap w:val="0"/>
            <w:vAlign w:val="center"/>
          </w:tcPr>
          <w:p w14:paraId="39AB8B64">
            <w:pPr>
              <w:keepNext w:val="0"/>
              <w:keepLines w:val="0"/>
              <w:pageBreakBefore w:val="0"/>
              <w:widowControl w:val="0"/>
              <w:kinsoku/>
              <w:wordWrap/>
              <w:overflowPunct/>
              <w:topLinePunct w:val="0"/>
              <w:autoSpaceDE/>
              <w:autoSpaceDN/>
              <w:bidi w:val="0"/>
              <w:adjustRightInd/>
              <w:snapToGrid/>
              <w:spacing w:line="320" w:lineRule="exact"/>
              <w:jc w:val="left"/>
              <w:textAlignment w:val="auto"/>
              <w:rPr>
                <w:sz w:val="20"/>
                <w:szCs w:val="22"/>
              </w:rPr>
            </w:pPr>
          </w:p>
        </w:tc>
        <w:tc>
          <w:tcPr>
            <w:tcW w:w="1350" w:type="dxa"/>
            <w:vMerge w:val="restart"/>
            <w:noWrap w:val="0"/>
            <w:vAlign w:val="center"/>
          </w:tcPr>
          <w:p w14:paraId="25A8BA15">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政府举办的殡葬服务机构提供的骨灰格位安葬</w:t>
            </w:r>
          </w:p>
        </w:tc>
        <w:tc>
          <w:tcPr>
            <w:tcW w:w="1534" w:type="dxa"/>
            <w:noWrap w:val="0"/>
            <w:vAlign w:val="center"/>
          </w:tcPr>
          <w:p w14:paraId="585851B1">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城镇公益性公墓格位维护管理费</w:t>
            </w:r>
          </w:p>
        </w:tc>
        <w:tc>
          <w:tcPr>
            <w:tcW w:w="4822" w:type="dxa"/>
            <w:vMerge w:val="restart"/>
            <w:noWrap w:val="0"/>
            <w:vAlign w:val="center"/>
          </w:tcPr>
          <w:p w14:paraId="3448028A">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城镇公益性公墓（骨灰堂）提供的、政府举办或参与举办的经营性公墓（骨灰堂）提供的以格位一次性安葬骨灰的形式，包括格位使用费和维护管理费。</w:t>
            </w:r>
          </w:p>
        </w:tc>
        <w:tc>
          <w:tcPr>
            <w:tcW w:w="1275" w:type="dxa"/>
            <w:vMerge w:val="restart"/>
            <w:noWrap w:val="0"/>
            <w:vAlign w:val="center"/>
          </w:tcPr>
          <w:p w14:paraId="5C2334B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方正仿宋_GBK" w:eastAsia="仿宋_GB2312" w:cs="方正仿宋_GBK"/>
                <w:w w:val="90"/>
                <w:sz w:val="28"/>
                <w:szCs w:val="28"/>
                <w:lang w:val="en-US" w:eastAsia="zh-CN"/>
              </w:rPr>
            </w:pPr>
            <w:r>
              <w:rPr>
                <w:rFonts w:hint="eastAsia" w:ascii="仿宋_GB2312" w:hAnsi="方正仿宋_GBK" w:eastAsia="仿宋_GB2312" w:cs="方正仿宋_GBK"/>
                <w:w w:val="90"/>
                <w:sz w:val="28"/>
                <w:szCs w:val="28"/>
                <w:lang w:eastAsia="zh-CN"/>
              </w:rPr>
              <w:t>元</w:t>
            </w:r>
            <w:r>
              <w:rPr>
                <w:rFonts w:hint="eastAsia" w:ascii="仿宋_GB2312" w:hAnsi="方正仿宋_GBK" w:eastAsia="仿宋_GB2312" w:cs="方正仿宋_GBK"/>
                <w:w w:val="90"/>
                <w:sz w:val="28"/>
                <w:szCs w:val="28"/>
                <w:lang w:val="en-US" w:eastAsia="zh-CN"/>
              </w:rPr>
              <w:t>/格</w:t>
            </w:r>
          </w:p>
        </w:tc>
        <w:tc>
          <w:tcPr>
            <w:tcW w:w="1238" w:type="dxa"/>
            <w:noWrap w:val="0"/>
            <w:vAlign w:val="center"/>
          </w:tcPr>
          <w:p w14:paraId="2700951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方正仿宋_GBK" w:eastAsia="仿宋_GB2312" w:cs="方正仿宋_GBK"/>
                <w:w w:val="90"/>
                <w:sz w:val="28"/>
                <w:szCs w:val="28"/>
                <w:lang w:val="en-US" w:eastAsia="zh-CN"/>
              </w:rPr>
            </w:pPr>
            <w:r>
              <w:rPr>
                <w:rFonts w:hint="eastAsia" w:ascii="仿宋_GB2312" w:hAnsi="方正仿宋_GBK" w:eastAsia="仿宋_GB2312" w:cs="方正仿宋_GBK"/>
                <w:w w:val="90"/>
                <w:sz w:val="28"/>
                <w:szCs w:val="28"/>
                <w:lang w:val="en-US" w:eastAsia="zh-CN"/>
              </w:rPr>
              <w:t>骨灰堂950，壁葬630</w:t>
            </w:r>
          </w:p>
        </w:tc>
        <w:tc>
          <w:tcPr>
            <w:tcW w:w="1147" w:type="dxa"/>
            <w:vMerge w:val="continue"/>
            <w:noWrap w:val="0"/>
            <w:vAlign w:val="center"/>
          </w:tcPr>
          <w:p w14:paraId="2E073C29">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rPr>
            </w:pPr>
          </w:p>
        </w:tc>
        <w:tc>
          <w:tcPr>
            <w:tcW w:w="1928" w:type="dxa"/>
            <w:vMerge w:val="restart"/>
            <w:noWrap w:val="0"/>
            <w:vAlign w:val="center"/>
          </w:tcPr>
          <w:p w14:paraId="35C771C0">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lang w:val="en-US" w:eastAsia="zh-CN"/>
              </w:rPr>
            </w:pPr>
            <w:r>
              <w:rPr>
                <w:rFonts w:hint="eastAsia" w:ascii="仿宋_GB2312" w:hAnsi="方正仿宋_GBK" w:eastAsia="仿宋_GB2312" w:cs="方正仿宋_GBK"/>
                <w:w w:val="90"/>
                <w:sz w:val="28"/>
                <w:szCs w:val="28"/>
                <w:lang w:val="en-US" w:eastAsia="zh-CN"/>
              </w:rPr>
              <w:t>1.城镇公益性公墓（骨灰堂）只能收取维护管理费，并实行政府指导价、不得收取（格位）使用费。</w:t>
            </w:r>
          </w:p>
          <w:p w14:paraId="75321737">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lang w:val="en-US" w:eastAsia="zh-CN"/>
              </w:rPr>
            </w:pPr>
            <w:r>
              <w:rPr>
                <w:rFonts w:hint="eastAsia" w:ascii="仿宋_GB2312" w:hAnsi="方正仿宋_GBK" w:eastAsia="仿宋_GB2312" w:cs="方正仿宋_GBK"/>
                <w:w w:val="90"/>
                <w:sz w:val="28"/>
                <w:szCs w:val="28"/>
                <w:lang w:val="en-US" w:eastAsia="zh-CN"/>
              </w:rPr>
              <w:t>2.格位维护管理费使用年限20年为一周期，一次性收取。</w:t>
            </w:r>
          </w:p>
          <w:p w14:paraId="2BB1D9ED">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仿宋_GB2312" w:hAnsi="方正仿宋_GBK" w:eastAsia="仿宋_GB2312" w:cs="方正仿宋_GBK"/>
                <w:w w:val="90"/>
                <w:sz w:val="28"/>
                <w:szCs w:val="28"/>
                <w:lang w:val="en-US" w:eastAsia="zh-CN"/>
              </w:rPr>
            </w:pPr>
            <w:r>
              <w:rPr>
                <w:rFonts w:hint="eastAsia" w:ascii="仿宋_GB2312" w:hAnsi="方正仿宋_GBK" w:cs="方正仿宋_GBK"/>
                <w:w w:val="90"/>
                <w:sz w:val="28"/>
                <w:szCs w:val="28"/>
                <w:lang w:val="en-US" w:eastAsia="zh-CN"/>
              </w:rPr>
              <w:t>3.</w:t>
            </w:r>
            <w:r>
              <w:rPr>
                <w:rFonts w:hint="eastAsia" w:ascii="仿宋_GB2312" w:hAnsi="方正仿宋_GBK" w:cs="方正仿宋_GBK"/>
                <w:w w:val="90"/>
                <w:sz w:val="28"/>
                <w:szCs w:val="28"/>
                <w:lang w:eastAsia="zh-CN"/>
              </w:rPr>
              <w:t>公益性公墓（骨灰堂）按照（洪发改价管字〔202</w:t>
            </w:r>
            <w:r>
              <w:rPr>
                <w:rFonts w:hint="eastAsia" w:ascii="仿宋_GB2312" w:hAnsi="方正仿宋_GBK" w:cs="方正仿宋_GBK"/>
                <w:w w:val="90"/>
                <w:sz w:val="28"/>
                <w:szCs w:val="28"/>
                <w:lang w:val="en-US" w:eastAsia="zh-CN"/>
              </w:rPr>
              <w:t>5</w:t>
            </w:r>
            <w:r>
              <w:rPr>
                <w:rFonts w:hint="eastAsia" w:ascii="仿宋_GB2312" w:hAnsi="方正仿宋_GBK" w:cs="方正仿宋_GBK"/>
                <w:w w:val="90"/>
                <w:sz w:val="28"/>
                <w:szCs w:val="28"/>
                <w:lang w:eastAsia="zh-CN"/>
              </w:rPr>
              <w:t>〕</w:t>
            </w:r>
            <w:r>
              <w:rPr>
                <w:rFonts w:hint="eastAsia" w:ascii="仿宋_GB2312" w:hAnsi="方正仿宋_GBK" w:cs="方正仿宋_GBK"/>
                <w:w w:val="90"/>
                <w:sz w:val="28"/>
                <w:szCs w:val="28"/>
                <w:lang w:val="en-US" w:eastAsia="zh-CN"/>
              </w:rPr>
              <w:t>27</w:t>
            </w:r>
            <w:r>
              <w:rPr>
                <w:rFonts w:hint="eastAsia" w:ascii="仿宋_GB2312" w:hAnsi="方正仿宋_GBK" w:cs="方正仿宋_GBK"/>
                <w:w w:val="90"/>
                <w:sz w:val="28"/>
                <w:szCs w:val="28"/>
                <w:lang w:eastAsia="zh-CN"/>
              </w:rPr>
              <w:t>号）执行</w:t>
            </w:r>
          </w:p>
        </w:tc>
      </w:tr>
      <w:tr w14:paraId="2BE99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0" w:hRule="atLeast"/>
          <w:tblHeader/>
          <w:jc w:val="center"/>
        </w:trPr>
        <w:tc>
          <w:tcPr>
            <w:tcW w:w="500" w:type="dxa"/>
            <w:vMerge w:val="continue"/>
            <w:noWrap w:val="0"/>
            <w:vAlign w:val="center"/>
          </w:tcPr>
          <w:p w14:paraId="7C7BB30F">
            <w:pPr>
              <w:keepNext w:val="0"/>
              <w:keepLines w:val="0"/>
              <w:pageBreakBefore w:val="0"/>
              <w:widowControl w:val="0"/>
              <w:kinsoku/>
              <w:wordWrap/>
              <w:overflowPunct/>
              <w:topLinePunct w:val="0"/>
              <w:autoSpaceDE/>
              <w:autoSpaceDN/>
              <w:bidi w:val="0"/>
              <w:adjustRightInd/>
              <w:snapToGrid/>
              <w:spacing w:line="320" w:lineRule="exact"/>
              <w:jc w:val="left"/>
              <w:textAlignment w:val="auto"/>
              <w:rPr>
                <w:sz w:val="20"/>
                <w:szCs w:val="22"/>
              </w:rPr>
            </w:pPr>
          </w:p>
        </w:tc>
        <w:tc>
          <w:tcPr>
            <w:tcW w:w="982" w:type="dxa"/>
            <w:vMerge w:val="continue"/>
            <w:noWrap w:val="0"/>
            <w:vAlign w:val="center"/>
          </w:tcPr>
          <w:p w14:paraId="2578D63C">
            <w:pPr>
              <w:keepNext w:val="0"/>
              <w:keepLines w:val="0"/>
              <w:pageBreakBefore w:val="0"/>
              <w:widowControl w:val="0"/>
              <w:kinsoku/>
              <w:wordWrap/>
              <w:overflowPunct/>
              <w:topLinePunct w:val="0"/>
              <w:autoSpaceDE/>
              <w:autoSpaceDN/>
              <w:bidi w:val="0"/>
              <w:adjustRightInd/>
              <w:snapToGrid/>
              <w:spacing w:line="320" w:lineRule="exact"/>
              <w:jc w:val="left"/>
              <w:textAlignment w:val="auto"/>
              <w:rPr>
                <w:sz w:val="20"/>
                <w:szCs w:val="22"/>
              </w:rPr>
            </w:pPr>
          </w:p>
        </w:tc>
        <w:tc>
          <w:tcPr>
            <w:tcW w:w="1350" w:type="dxa"/>
            <w:vMerge w:val="continue"/>
            <w:noWrap w:val="0"/>
            <w:vAlign w:val="center"/>
          </w:tcPr>
          <w:p w14:paraId="68B2AC2B">
            <w:pPr>
              <w:keepNext w:val="0"/>
              <w:keepLines w:val="0"/>
              <w:pageBreakBefore w:val="0"/>
              <w:widowControl w:val="0"/>
              <w:kinsoku/>
              <w:wordWrap/>
              <w:overflowPunct/>
              <w:topLinePunct w:val="0"/>
              <w:autoSpaceDE/>
              <w:autoSpaceDN/>
              <w:bidi w:val="0"/>
              <w:adjustRightInd/>
              <w:snapToGrid/>
              <w:spacing w:line="320" w:lineRule="exact"/>
              <w:jc w:val="left"/>
              <w:textAlignment w:val="auto"/>
              <w:rPr>
                <w:sz w:val="20"/>
                <w:szCs w:val="22"/>
              </w:rPr>
            </w:pPr>
          </w:p>
        </w:tc>
        <w:tc>
          <w:tcPr>
            <w:tcW w:w="1534" w:type="dxa"/>
            <w:noWrap w:val="0"/>
            <w:vAlign w:val="center"/>
          </w:tcPr>
          <w:p w14:paraId="6EDA55C6">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政府举办或参与举办的经营性公墓（骨灰堂）格位使用费</w:t>
            </w:r>
          </w:p>
        </w:tc>
        <w:tc>
          <w:tcPr>
            <w:tcW w:w="4822" w:type="dxa"/>
            <w:vMerge w:val="continue"/>
            <w:noWrap w:val="0"/>
            <w:vAlign w:val="center"/>
          </w:tcPr>
          <w:p w14:paraId="1D193F86">
            <w:pPr>
              <w:keepNext w:val="0"/>
              <w:keepLines w:val="0"/>
              <w:pageBreakBefore w:val="0"/>
              <w:widowControl w:val="0"/>
              <w:kinsoku/>
              <w:wordWrap/>
              <w:overflowPunct/>
              <w:topLinePunct w:val="0"/>
              <w:autoSpaceDE/>
              <w:autoSpaceDN/>
              <w:bidi w:val="0"/>
              <w:adjustRightInd/>
              <w:snapToGrid/>
              <w:spacing w:line="320" w:lineRule="exact"/>
              <w:jc w:val="left"/>
              <w:textAlignment w:val="auto"/>
              <w:rPr>
                <w:sz w:val="20"/>
                <w:szCs w:val="22"/>
              </w:rPr>
            </w:pPr>
          </w:p>
        </w:tc>
        <w:tc>
          <w:tcPr>
            <w:tcW w:w="1275" w:type="dxa"/>
            <w:vMerge w:val="continue"/>
            <w:noWrap w:val="0"/>
            <w:vAlign w:val="center"/>
          </w:tcPr>
          <w:p w14:paraId="7706C12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sz w:val="20"/>
                <w:szCs w:val="22"/>
              </w:rPr>
            </w:pPr>
          </w:p>
        </w:tc>
        <w:tc>
          <w:tcPr>
            <w:tcW w:w="1238" w:type="dxa"/>
            <w:noWrap w:val="0"/>
            <w:vAlign w:val="center"/>
          </w:tcPr>
          <w:p w14:paraId="18F4A8E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eastAsia="宋体"/>
                <w:sz w:val="20"/>
                <w:szCs w:val="22"/>
                <w:lang w:val="en-US" w:eastAsia="zh-CN"/>
              </w:rPr>
            </w:pPr>
            <w:r>
              <w:rPr>
                <w:rFonts w:hint="eastAsia"/>
                <w:sz w:val="20"/>
                <w:szCs w:val="22"/>
                <w:lang w:val="en-US" w:eastAsia="zh-CN"/>
              </w:rPr>
              <w:t>-</w:t>
            </w:r>
          </w:p>
        </w:tc>
        <w:tc>
          <w:tcPr>
            <w:tcW w:w="1147" w:type="dxa"/>
            <w:vMerge w:val="continue"/>
            <w:noWrap w:val="0"/>
            <w:vAlign w:val="center"/>
          </w:tcPr>
          <w:p w14:paraId="52259DE5">
            <w:pPr>
              <w:keepNext w:val="0"/>
              <w:keepLines w:val="0"/>
              <w:pageBreakBefore w:val="0"/>
              <w:widowControl w:val="0"/>
              <w:kinsoku/>
              <w:wordWrap/>
              <w:overflowPunct/>
              <w:topLinePunct w:val="0"/>
              <w:autoSpaceDE/>
              <w:autoSpaceDN/>
              <w:bidi w:val="0"/>
              <w:adjustRightInd/>
              <w:snapToGrid/>
              <w:spacing w:line="320" w:lineRule="exact"/>
              <w:jc w:val="left"/>
              <w:textAlignment w:val="auto"/>
              <w:rPr>
                <w:sz w:val="20"/>
                <w:szCs w:val="22"/>
              </w:rPr>
            </w:pPr>
          </w:p>
        </w:tc>
        <w:tc>
          <w:tcPr>
            <w:tcW w:w="1928" w:type="dxa"/>
            <w:vMerge w:val="continue"/>
            <w:noWrap w:val="0"/>
            <w:vAlign w:val="center"/>
          </w:tcPr>
          <w:p w14:paraId="745B4129">
            <w:pPr>
              <w:keepNext w:val="0"/>
              <w:keepLines w:val="0"/>
              <w:pageBreakBefore w:val="0"/>
              <w:widowControl w:val="0"/>
              <w:kinsoku/>
              <w:wordWrap/>
              <w:overflowPunct/>
              <w:topLinePunct w:val="0"/>
              <w:autoSpaceDE/>
              <w:autoSpaceDN/>
              <w:bidi w:val="0"/>
              <w:adjustRightInd/>
              <w:snapToGrid/>
              <w:spacing w:line="320" w:lineRule="exact"/>
              <w:jc w:val="left"/>
              <w:textAlignment w:val="auto"/>
              <w:rPr>
                <w:sz w:val="20"/>
                <w:szCs w:val="22"/>
              </w:rPr>
            </w:pPr>
          </w:p>
        </w:tc>
      </w:tr>
      <w:tr w14:paraId="674B8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blHeader/>
          <w:jc w:val="center"/>
        </w:trPr>
        <w:tc>
          <w:tcPr>
            <w:tcW w:w="500" w:type="dxa"/>
            <w:vMerge w:val="continue"/>
            <w:noWrap w:val="0"/>
            <w:vAlign w:val="center"/>
          </w:tcPr>
          <w:p w14:paraId="55917648">
            <w:pPr>
              <w:keepNext w:val="0"/>
              <w:keepLines w:val="0"/>
              <w:pageBreakBefore w:val="0"/>
              <w:widowControl w:val="0"/>
              <w:kinsoku/>
              <w:wordWrap/>
              <w:overflowPunct/>
              <w:topLinePunct w:val="0"/>
              <w:autoSpaceDE/>
              <w:autoSpaceDN/>
              <w:bidi w:val="0"/>
              <w:adjustRightInd/>
              <w:snapToGrid/>
              <w:spacing w:line="320" w:lineRule="exact"/>
              <w:jc w:val="left"/>
              <w:textAlignment w:val="auto"/>
              <w:rPr>
                <w:sz w:val="20"/>
                <w:szCs w:val="22"/>
              </w:rPr>
            </w:pPr>
          </w:p>
        </w:tc>
        <w:tc>
          <w:tcPr>
            <w:tcW w:w="982" w:type="dxa"/>
            <w:vMerge w:val="continue"/>
            <w:noWrap w:val="0"/>
            <w:vAlign w:val="center"/>
          </w:tcPr>
          <w:p w14:paraId="37E8A8B0">
            <w:pPr>
              <w:keepNext w:val="0"/>
              <w:keepLines w:val="0"/>
              <w:pageBreakBefore w:val="0"/>
              <w:widowControl w:val="0"/>
              <w:kinsoku/>
              <w:wordWrap/>
              <w:overflowPunct/>
              <w:topLinePunct w:val="0"/>
              <w:autoSpaceDE/>
              <w:autoSpaceDN/>
              <w:bidi w:val="0"/>
              <w:adjustRightInd/>
              <w:snapToGrid/>
              <w:spacing w:line="320" w:lineRule="exact"/>
              <w:jc w:val="left"/>
              <w:textAlignment w:val="auto"/>
              <w:rPr>
                <w:sz w:val="20"/>
                <w:szCs w:val="22"/>
              </w:rPr>
            </w:pPr>
          </w:p>
        </w:tc>
        <w:tc>
          <w:tcPr>
            <w:tcW w:w="1350" w:type="dxa"/>
            <w:vMerge w:val="continue"/>
            <w:noWrap w:val="0"/>
            <w:vAlign w:val="center"/>
          </w:tcPr>
          <w:p w14:paraId="1FB31072">
            <w:pPr>
              <w:keepNext w:val="0"/>
              <w:keepLines w:val="0"/>
              <w:pageBreakBefore w:val="0"/>
              <w:widowControl w:val="0"/>
              <w:kinsoku/>
              <w:wordWrap/>
              <w:overflowPunct/>
              <w:topLinePunct w:val="0"/>
              <w:autoSpaceDE/>
              <w:autoSpaceDN/>
              <w:bidi w:val="0"/>
              <w:adjustRightInd/>
              <w:snapToGrid/>
              <w:spacing w:line="320" w:lineRule="exact"/>
              <w:jc w:val="left"/>
              <w:textAlignment w:val="auto"/>
              <w:rPr>
                <w:sz w:val="20"/>
                <w:szCs w:val="22"/>
              </w:rPr>
            </w:pPr>
          </w:p>
        </w:tc>
        <w:tc>
          <w:tcPr>
            <w:tcW w:w="1534" w:type="dxa"/>
            <w:noWrap w:val="0"/>
            <w:vAlign w:val="center"/>
          </w:tcPr>
          <w:p w14:paraId="6EE76E2F">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政府举办或参与举办的经营性公墓（骨灰堂）格位维护管理费</w:t>
            </w:r>
          </w:p>
        </w:tc>
        <w:tc>
          <w:tcPr>
            <w:tcW w:w="4822" w:type="dxa"/>
            <w:vMerge w:val="continue"/>
            <w:noWrap w:val="0"/>
            <w:vAlign w:val="center"/>
          </w:tcPr>
          <w:p w14:paraId="3127F273">
            <w:pPr>
              <w:keepNext w:val="0"/>
              <w:keepLines w:val="0"/>
              <w:pageBreakBefore w:val="0"/>
              <w:widowControl w:val="0"/>
              <w:kinsoku/>
              <w:wordWrap/>
              <w:overflowPunct/>
              <w:topLinePunct w:val="0"/>
              <w:autoSpaceDE/>
              <w:autoSpaceDN/>
              <w:bidi w:val="0"/>
              <w:adjustRightInd/>
              <w:snapToGrid/>
              <w:spacing w:line="320" w:lineRule="exact"/>
              <w:jc w:val="left"/>
              <w:textAlignment w:val="auto"/>
              <w:rPr>
                <w:sz w:val="20"/>
                <w:szCs w:val="22"/>
              </w:rPr>
            </w:pPr>
          </w:p>
        </w:tc>
        <w:tc>
          <w:tcPr>
            <w:tcW w:w="1275" w:type="dxa"/>
            <w:vMerge w:val="continue"/>
            <w:noWrap w:val="0"/>
            <w:vAlign w:val="center"/>
          </w:tcPr>
          <w:p w14:paraId="59FD628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sz w:val="20"/>
                <w:szCs w:val="22"/>
              </w:rPr>
            </w:pPr>
          </w:p>
        </w:tc>
        <w:tc>
          <w:tcPr>
            <w:tcW w:w="1238" w:type="dxa"/>
            <w:noWrap w:val="0"/>
            <w:vAlign w:val="center"/>
          </w:tcPr>
          <w:p w14:paraId="01F96DA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eastAsia="宋体"/>
                <w:sz w:val="20"/>
                <w:szCs w:val="22"/>
                <w:lang w:val="en-US" w:eastAsia="zh-CN"/>
              </w:rPr>
            </w:pPr>
            <w:r>
              <w:rPr>
                <w:rFonts w:hint="eastAsia"/>
                <w:sz w:val="20"/>
                <w:szCs w:val="22"/>
                <w:lang w:val="en-US" w:eastAsia="zh-CN"/>
              </w:rPr>
              <w:t>-</w:t>
            </w:r>
          </w:p>
        </w:tc>
        <w:tc>
          <w:tcPr>
            <w:tcW w:w="1147" w:type="dxa"/>
            <w:vMerge w:val="continue"/>
            <w:noWrap w:val="0"/>
            <w:vAlign w:val="center"/>
          </w:tcPr>
          <w:p w14:paraId="3E76AC90">
            <w:pPr>
              <w:keepNext w:val="0"/>
              <w:keepLines w:val="0"/>
              <w:pageBreakBefore w:val="0"/>
              <w:widowControl w:val="0"/>
              <w:kinsoku/>
              <w:wordWrap/>
              <w:overflowPunct/>
              <w:topLinePunct w:val="0"/>
              <w:autoSpaceDE/>
              <w:autoSpaceDN/>
              <w:bidi w:val="0"/>
              <w:adjustRightInd/>
              <w:snapToGrid/>
              <w:spacing w:line="320" w:lineRule="exact"/>
              <w:jc w:val="left"/>
              <w:textAlignment w:val="auto"/>
              <w:rPr>
                <w:sz w:val="20"/>
                <w:szCs w:val="22"/>
              </w:rPr>
            </w:pPr>
          </w:p>
        </w:tc>
        <w:tc>
          <w:tcPr>
            <w:tcW w:w="1928" w:type="dxa"/>
            <w:vMerge w:val="continue"/>
            <w:noWrap w:val="0"/>
            <w:vAlign w:val="center"/>
          </w:tcPr>
          <w:p w14:paraId="25756A34">
            <w:pPr>
              <w:keepNext w:val="0"/>
              <w:keepLines w:val="0"/>
              <w:pageBreakBefore w:val="0"/>
              <w:widowControl w:val="0"/>
              <w:kinsoku/>
              <w:wordWrap/>
              <w:overflowPunct/>
              <w:topLinePunct w:val="0"/>
              <w:autoSpaceDE/>
              <w:autoSpaceDN/>
              <w:bidi w:val="0"/>
              <w:adjustRightInd/>
              <w:snapToGrid/>
              <w:spacing w:line="320" w:lineRule="exact"/>
              <w:jc w:val="left"/>
              <w:textAlignment w:val="auto"/>
              <w:rPr>
                <w:sz w:val="20"/>
                <w:szCs w:val="22"/>
              </w:rPr>
            </w:pPr>
          </w:p>
        </w:tc>
      </w:tr>
      <w:tr w14:paraId="6F1E2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blHeader/>
          <w:jc w:val="center"/>
        </w:trPr>
        <w:tc>
          <w:tcPr>
            <w:tcW w:w="500" w:type="dxa"/>
            <w:noWrap w:val="0"/>
            <w:vAlign w:val="center"/>
          </w:tcPr>
          <w:p w14:paraId="52CE7CD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w w:val="90"/>
                <w:kern w:val="2"/>
                <w:sz w:val="40"/>
                <w:szCs w:val="48"/>
                <w:lang w:val="en-US" w:eastAsia="zh-CN" w:bidi="ar-SA"/>
              </w:rPr>
            </w:pPr>
            <w:r>
              <w:rPr>
                <w:rFonts w:hint="eastAsia" w:ascii="方正黑体_GBK" w:hAnsi="方正黑体_GBK" w:eastAsia="方正黑体_GBK" w:cs="方正黑体_GBK"/>
                <w:w w:val="90"/>
                <w:sz w:val="28"/>
                <w:szCs w:val="36"/>
              </w:rPr>
              <w:t>序号</w:t>
            </w:r>
          </w:p>
        </w:tc>
        <w:tc>
          <w:tcPr>
            <w:tcW w:w="982" w:type="dxa"/>
            <w:noWrap w:val="0"/>
            <w:vAlign w:val="center"/>
          </w:tcPr>
          <w:p w14:paraId="3678E8B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w w:val="90"/>
                <w:kern w:val="2"/>
                <w:sz w:val="28"/>
                <w:szCs w:val="36"/>
                <w:lang w:val="en-US" w:eastAsia="zh-CN" w:bidi="ar-SA"/>
              </w:rPr>
            </w:pPr>
            <w:r>
              <w:rPr>
                <w:rFonts w:hint="eastAsia" w:ascii="方正黑体_GBK" w:hAnsi="方正黑体_GBK" w:eastAsia="方正黑体_GBK" w:cs="方正黑体_GBK"/>
                <w:w w:val="90"/>
                <w:sz w:val="28"/>
                <w:szCs w:val="36"/>
              </w:rPr>
              <w:t>价格管理类型</w:t>
            </w:r>
          </w:p>
        </w:tc>
        <w:tc>
          <w:tcPr>
            <w:tcW w:w="2884" w:type="dxa"/>
            <w:gridSpan w:val="2"/>
            <w:noWrap w:val="0"/>
            <w:vAlign w:val="center"/>
          </w:tcPr>
          <w:p w14:paraId="5FE7405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w w:val="90"/>
                <w:kern w:val="2"/>
                <w:sz w:val="28"/>
                <w:szCs w:val="36"/>
                <w:lang w:val="en-US" w:eastAsia="zh-CN" w:bidi="ar-SA"/>
              </w:rPr>
            </w:pPr>
            <w:r>
              <w:rPr>
                <w:rFonts w:hint="eastAsia" w:ascii="方正黑体_GBK" w:hAnsi="方正黑体_GBK" w:eastAsia="方正黑体_GBK" w:cs="方正黑体_GBK"/>
                <w:w w:val="90"/>
                <w:sz w:val="28"/>
                <w:szCs w:val="36"/>
              </w:rPr>
              <w:t>服务项目</w:t>
            </w:r>
          </w:p>
        </w:tc>
        <w:tc>
          <w:tcPr>
            <w:tcW w:w="4822" w:type="dxa"/>
            <w:noWrap w:val="0"/>
            <w:vAlign w:val="center"/>
          </w:tcPr>
          <w:p w14:paraId="4C33982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w w:val="90"/>
                <w:kern w:val="2"/>
                <w:sz w:val="28"/>
                <w:szCs w:val="36"/>
                <w:lang w:val="en-US" w:eastAsia="zh-CN" w:bidi="ar-SA"/>
              </w:rPr>
            </w:pPr>
            <w:r>
              <w:rPr>
                <w:rFonts w:hint="eastAsia" w:ascii="方正黑体_GBK" w:hAnsi="方正黑体_GBK" w:eastAsia="方正黑体_GBK" w:cs="方正黑体_GBK"/>
                <w:w w:val="90"/>
                <w:sz w:val="28"/>
                <w:szCs w:val="36"/>
              </w:rPr>
              <w:t>服务内容</w:t>
            </w:r>
          </w:p>
        </w:tc>
        <w:tc>
          <w:tcPr>
            <w:tcW w:w="1275" w:type="dxa"/>
            <w:noWrap w:val="0"/>
            <w:vAlign w:val="center"/>
          </w:tcPr>
          <w:p w14:paraId="73782DE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w w:val="90"/>
                <w:kern w:val="2"/>
                <w:sz w:val="28"/>
                <w:szCs w:val="36"/>
                <w:lang w:val="en-US" w:eastAsia="zh-CN" w:bidi="ar-SA"/>
              </w:rPr>
            </w:pPr>
            <w:r>
              <w:rPr>
                <w:rFonts w:hint="eastAsia" w:ascii="方正黑体_GBK" w:hAnsi="方正黑体_GBK" w:eastAsia="方正黑体_GBK" w:cs="方正黑体_GBK"/>
                <w:w w:val="90"/>
                <w:sz w:val="28"/>
                <w:szCs w:val="36"/>
                <w:lang w:eastAsia="zh-CN"/>
              </w:rPr>
              <w:t>计价单位</w:t>
            </w:r>
          </w:p>
        </w:tc>
        <w:tc>
          <w:tcPr>
            <w:tcW w:w="1238" w:type="dxa"/>
            <w:noWrap w:val="0"/>
            <w:vAlign w:val="center"/>
          </w:tcPr>
          <w:p w14:paraId="4FDAC2E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w w:val="90"/>
                <w:kern w:val="2"/>
                <w:sz w:val="28"/>
                <w:szCs w:val="36"/>
                <w:lang w:val="en-US" w:eastAsia="zh-CN" w:bidi="ar-SA"/>
              </w:rPr>
            </w:pPr>
            <w:r>
              <w:rPr>
                <w:rFonts w:hint="eastAsia" w:ascii="方正黑体_GBK" w:hAnsi="方正黑体_GBK" w:eastAsia="方正黑体_GBK" w:cs="方正黑体_GBK"/>
                <w:w w:val="90"/>
                <w:sz w:val="28"/>
                <w:szCs w:val="36"/>
              </w:rPr>
              <w:t>基准收费标准</w:t>
            </w:r>
          </w:p>
        </w:tc>
        <w:tc>
          <w:tcPr>
            <w:tcW w:w="1147" w:type="dxa"/>
            <w:noWrap w:val="0"/>
            <w:vAlign w:val="center"/>
          </w:tcPr>
          <w:p w14:paraId="6206C59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w w:val="90"/>
                <w:kern w:val="2"/>
                <w:sz w:val="28"/>
                <w:szCs w:val="36"/>
                <w:lang w:val="en-US" w:eastAsia="zh-CN" w:bidi="ar-SA"/>
              </w:rPr>
            </w:pPr>
            <w:r>
              <w:rPr>
                <w:rFonts w:hint="eastAsia" w:ascii="方正黑体_GBK" w:hAnsi="方正黑体_GBK" w:eastAsia="方正黑体_GBK" w:cs="方正黑体_GBK"/>
                <w:w w:val="90"/>
                <w:sz w:val="28"/>
                <w:szCs w:val="36"/>
                <w:lang w:eastAsia="zh-CN"/>
              </w:rPr>
              <w:t>上下浮动幅度</w:t>
            </w:r>
          </w:p>
        </w:tc>
        <w:tc>
          <w:tcPr>
            <w:tcW w:w="1928" w:type="dxa"/>
            <w:noWrap w:val="0"/>
            <w:vAlign w:val="center"/>
          </w:tcPr>
          <w:p w14:paraId="0CA9B08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w w:val="90"/>
                <w:kern w:val="2"/>
                <w:sz w:val="28"/>
                <w:szCs w:val="36"/>
                <w:lang w:val="en-US" w:eastAsia="zh-CN" w:bidi="ar-SA"/>
              </w:rPr>
            </w:pPr>
            <w:r>
              <w:rPr>
                <w:rFonts w:hint="eastAsia" w:ascii="方正黑体_GBK" w:hAnsi="方正黑体_GBK" w:eastAsia="方正黑体_GBK" w:cs="方正黑体_GBK"/>
                <w:w w:val="90"/>
                <w:sz w:val="28"/>
                <w:szCs w:val="36"/>
                <w:lang w:eastAsia="zh-CN"/>
              </w:rPr>
              <w:t>备注</w:t>
            </w:r>
          </w:p>
        </w:tc>
      </w:tr>
      <w:tr w14:paraId="0FBEE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9" w:hRule="atLeast"/>
          <w:tblHeader/>
          <w:jc w:val="center"/>
        </w:trPr>
        <w:tc>
          <w:tcPr>
            <w:tcW w:w="500" w:type="dxa"/>
            <w:noWrap w:val="0"/>
            <w:vAlign w:val="center"/>
          </w:tcPr>
          <w:p w14:paraId="1450F31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36"/>
                <w:lang w:val="en-US" w:eastAsia="zh-CN"/>
              </w:rPr>
            </w:pPr>
            <w:r>
              <w:rPr>
                <w:rFonts w:hint="eastAsia" w:ascii="仿宋_GB2312" w:hAnsi="方正仿宋_GBK" w:eastAsia="仿宋_GB2312" w:cs="方正仿宋_GBK"/>
                <w:w w:val="90"/>
                <w:sz w:val="28"/>
                <w:szCs w:val="36"/>
                <w:lang w:val="en-US" w:eastAsia="zh-CN"/>
              </w:rPr>
              <w:t>8</w:t>
            </w:r>
          </w:p>
        </w:tc>
        <w:tc>
          <w:tcPr>
            <w:tcW w:w="982" w:type="dxa"/>
            <w:vMerge w:val="restart"/>
            <w:noWrap w:val="0"/>
            <w:vAlign w:val="center"/>
          </w:tcPr>
          <w:p w14:paraId="1620A68E">
            <w:pPr>
              <w:keepNext w:val="0"/>
              <w:keepLines w:val="0"/>
              <w:pageBreakBefore w:val="0"/>
              <w:widowControl w:val="0"/>
              <w:kinsoku/>
              <w:wordWrap/>
              <w:overflowPunct/>
              <w:topLinePunct w:val="0"/>
              <w:autoSpaceDE/>
              <w:autoSpaceDN/>
              <w:bidi w:val="0"/>
              <w:adjustRightInd/>
              <w:snapToGrid/>
              <w:spacing w:line="320" w:lineRule="exact"/>
              <w:jc w:val="left"/>
              <w:textAlignment w:val="auto"/>
              <w:rPr>
                <w:sz w:val="20"/>
                <w:szCs w:val="22"/>
              </w:rPr>
            </w:pPr>
            <w:r>
              <w:rPr>
                <w:rFonts w:hint="eastAsia" w:ascii="方正黑体_GBK" w:hAnsi="方正黑体_GBK" w:eastAsia="方正黑体_GBK" w:cs="方正黑体_GBK"/>
                <w:w w:val="90"/>
                <w:sz w:val="24"/>
                <w:szCs w:val="32"/>
                <w:lang w:eastAsia="zh-CN"/>
              </w:rPr>
              <w:t>基础项目：政府指导价</w:t>
            </w:r>
          </w:p>
        </w:tc>
        <w:tc>
          <w:tcPr>
            <w:tcW w:w="2884" w:type="dxa"/>
            <w:gridSpan w:val="2"/>
            <w:noWrap w:val="0"/>
            <w:vAlign w:val="center"/>
          </w:tcPr>
          <w:p w14:paraId="5089076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政府举办的经营性公墓墓位使用费</w:t>
            </w:r>
          </w:p>
        </w:tc>
        <w:tc>
          <w:tcPr>
            <w:tcW w:w="4822" w:type="dxa"/>
            <w:noWrap w:val="0"/>
            <w:vAlign w:val="center"/>
          </w:tcPr>
          <w:p w14:paraId="4611DB19">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政府举办或参与举办的经营性公墓墓位使用费，含墓位、墓碑建设费，土地成本费，材料费，税费，墓碑刻字或嵌像、描色等，骨灰安葬的开穴、安放、封穴等施工费。</w:t>
            </w:r>
          </w:p>
        </w:tc>
        <w:tc>
          <w:tcPr>
            <w:tcW w:w="1275" w:type="dxa"/>
            <w:noWrap w:val="0"/>
            <w:vAlign w:val="center"/>
          </w:tcPr>
          <w:p w14:paraId="05D0AFA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方正仿宋_GBK" w:eastAsia="仿宋_GB2312" w:cs="方正仿宋_GBK"/>
                <w:w w:val="90"/>
                <w:sz w:val="28"/>
                <w:szCs w:val="28"/>
                <w:lang w:val="en-US" w:eastAsia="zh-CN"/>
              </w:rPr>
            </w:pPr>
            <w:r>
              <w:rPr>
                <w:rFonts w:hint="eastAsia" w:ascii="仿宋_GB2312" w:hAnsi="方正仿宋_GBK" w:eastAsia="仿宋_GB2312" w:cs="方正仿宋_GBK"/>
                <w:w w:val="90"/>
                <w:sz w:val="28"/>
                <w:szCs w:val="28"/>
                <w:lang w:eastAsia="zh-CN"/>
              </w:rPr>
              <w:t>元</w:t>
            </w:r>
            <w:r>
              <w:rPr>
                <w:rFonts w:hint="eastAsia" w:ascii="仿宋_GB2312" w:hAnsi="方正仿宋_GBK" w:eastAsia="仿宋_GB2312" w:cs="方正仿宋_GBK"/>
                <w:w w:val="90"/>
                <w:sz w:val="28"/>
                <w:szCs w:val="28"/>
                <w:lang w:val="en-US" w:eastAsia="zh-CN"/>
              </w:rPr>
              <w:t>/座</w:t>
            </w:r>
          </w:p>
        </w:tc>
        <w:tc>
          <w:tcPr>
            <w:tcW w:w="1238" w:type="dxa"/>
            <w:noWrap w:val="0"/>
            <w:vAlign w:val="center"/>
          </w:tcPr>
          <w:p w14:paraId="4ABD26B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val="en-US" w:eastAsia="zh-CN"/>
              </w:rPr>
            </w:pPr>
            <w:r>
              <w:rPr>
                <w:rFonts w:hint="eastAsia" w:ascii="仿宋_GB2312" w:hAnsi="方正仿宋_GBK" w:eastAsia="仿宋_GB2312" w:cs="方正仿宋_GBK"/>
                <w:w w:val="90"/>
                <w:sz w:val="28"/>
                <w:szCs w:val="28"/>
                <w:lang w:val="en-US" w:eastAsia="zh-CN"/>
              </w:rPr>
              <w:t>待定</w:t>
            </w:r>
          </w:p>
        </w:tc>
        <w:tc>
          <w:tcPr>
            <w:tcW w:w="1147" w:type="dxa"/>
            <w:vMerge w:val="restart"/>
            <w:noWrap w:val="0"/>
            <w:vAlign w:val="center"/>
          </w:tcPr>
          <w:p w14:paraId="2A7F15BF">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_GB2312" w:hAnsi="方正仿宋_GBK" w:eastAsia="仿宋_GB2312" w:cs="方正仿宋_GBK"/>
                <w:w w:val="90"/>
                <w:sz w:val="28"/>
                <w:szCs w:val="28"/>
              </w:rPr>
            </w:pPr>
            <w:r>
              <w:rPr>
                <w:rFonts w:hint="eastAsia" w:ascii="方正黑体_GBK" w:hAnsi="方正黑体_GBK" w:eastAsia="方正黑体_GBK" w:cs="方正黑体_GBK"/>
                <w:w w:val="90"/>
                <w:sz w:val="24"/>
                <w:szCs w:val="32"/>
              </w:rPr>
              <w:t>上浮不超过15%，下浮不限。</w:t>
            </w:r>
          </w:p>
        </w:tc>
        <w:tc>
          <w:tcPr>
            <w:tcW w:w="1928" w:type="dxa"/>
            <w:noWrap w:val="0"/>
            <w:vAlign w:val="center"/>
          </w:tcPr>
          <w:p w14:paraId="4F58A69F">
            <w:pPr>
              <w:keepNext w:val="0"/>
              <w:keepLines w:val="0"/>
              <w:pageBreakBefore w:val="0"/>
              <w:widowControl w:val="0"/>
              <w:kinsoku/>
              <w:wordWrap/>
              <w:overflowPunct/>
              <w:topLinePunct w:val="0"/>
              <w:autoSpaceDE/>
              <w:autoSpaceDN/>
              <w:bidi w:val="0"/>
              <w:adjustRightInd/>
              <w:snapToGrid/>
              <w:spacing w:line="320" w:lineRule="exact"/>
              <w:jc w:val="left"/>
              <w:textAlignment w:val="auto"/>
              <w:rPr>
                <w:sz w:val="20"/>
                <w:szCs w:val="22"/>
              </w:rPr>
            </w:pPr>
          </w:p>
        </w:tc>
      </w:tr>
      <w:tr w14:paraId="7D66B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3" w:hRule="atLeast"/>
          <w:tblHeader/>
          <w:jc w:val="center"/>
        </w:trPr>
        <w:tc>
          <w:tcPr>
            <w:tcW w:w="500" w:type="dxa"/>
            <w:vMerge w:val="restart"/>
            <w:noWrap w:val="0"/>
            <w:vAlign w:val="center"/>
          </w:tcPr>
          <w:p w14:paraId="200A322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方正仿宋_GBK" w:eastAsia="仿宋_GB2312" w:cs="方正仿宋_GBK"/>
                <w:w w:val="90"/>
                <w:sz w:val="28"/>
                <w:szCs w:val="36"/>
                <w:lang w:val="en-US" w:eastAsia="zh-CN"/>
              </w:rPr>
            </w:pPr>
            <w:r>
              <w:rPr>
                <w:rFonts w:hint="eastAsia" w:ascii="仿宋_GB2312" w:hAnsi="方正仿宋_GBK" w:eastAsia="仿宋_GB2312" w:cs="方正仿宋_GBK"/>
                <w:w w:val="90"/>
                <w:sz w:val="28"/>
                <w:szCs w:val="36"/>
                <w:lang w:val="en-US" w:eastAsia="zh-CN"/>
              </w:rPr>
              <w:t>9</w:t>
            </w:r>
          </w:p>
        </w:tc>
        <w:tc>
          <w:tcPr>
            <w:tcW w:w="982" w:type="dxa"/>
            <w:vMerge w:val="continue"/>
            <w:noWrap w:val="0"/>
            <w:vAlign w:val="center"/>
          </w:tcPr>
          <w:p w14:paraId="683B3B51">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lang w:eastAsia="zh-CN"/>
              </w:rPr>
            </w:pPr>
          </w:p>
        </w:tc>
        <w:tc>
          <w:tcPr>
            <w:tcW w:w="1350" w:type="dxa"/>
            <w:vMerge w:val="restart"/>
            <w:noWrap w:val="0"/>
            <w:vAlign w:val="center"/>
          </w:tcPr>
          <w:p w14:paraId="22A2149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公墓维护管理费</w:t>
            </w:r>
          </w:p>
        </w:tc>
        <w:tc>
          <w:tcPr>
            <w:tcW w:w="1534" w:type="dxa"/>
            <w:noWrap w:val="0"/>
            <w:vAlign w:val="center"/>
          </w:tcPr>
          <w:p w14:paraId="49B3D6D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经营性公墓墓位维护管理费</w:t>
            </w:r>
          </w:p>
        </w:tc>
        <w:tc>
          <w:tcPr>
            <w:tcW w:w="4822" w:type="dxa"/>
            <w:vMerge w:val="restart"/>
            <w:noWrap w:val="0"/>
            <w:vAlign w:val="center"/>
          </w:tcPr>
          <w:p w14:paraId="0CABC91A">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包括所有经营性、城镇公益性公墓墓位维护管理费，以及非政府举办或参与举办的经营性公墓（骨灰堂）格位维护管理费</w:t>
            </w:r>
          </w:p>
        </w:tc>
        <w:tc>
          <w:tcPr>
            <w:tcW w:w="1275" w:type="dxa"/>
            <w:vMerge w:val="restart"/>
            <w:noWrap w:val="0"/>
            <w:vAlign w:val="center"/>
          </w:tcPr>
          <w:p w14:paraId="2BD4677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方正仿宋_GBK" w:eastAsia="仿宋_GB2312" w:cs="方正仿宋_GBK"/>
                <w:w w:val="90"/>
                <w:sz w:val="28"/>
                <w:szCs w:val="28"/>
                <w:lang w:val="en-US" w:eastAsia="zh-CN"/>
              </w:rPr>
            </w:pPr>
            <w:r>
              <w:rPr>
                <w:rFonts w:hint="eastAsia" w:ascii="仿宋_GB2312" w:hAnsi="方正仿宋_GBK" w:eastAsia="仿宋_GB2312" w:cs="方正仿宋_GBK"/>
                <w:w w:val="90"/>
                <w:sz w:val="28"/>
                <w:szCs w:val="28"/>
                <w:lang w:eastAsia="zh-CN"/>
              </w:rPr>
              <w:t>元</w:t>
            </w:r>
            <w:r>
              <w:rPr>
                <w:rFonts w:hint="eastAsia" w:ascii="仿宋_GB2312" w:hAnsi="方正仿宋_GBK" w:eastAsia="仿宋_GB2312" w:cs="方正仿宋_GBK"/>
                <w:w w:val="90"/>
                <w:sz w:val="28"/>
                <w:szCs w:val="28"/>
                <w:lang w:val="en-US" w:eastAsia="zh-CN"/>
              </w:rPr>
              <w:t>/20年</w:t>
            </w:r>
          </w:p>
        </w:tc>
        <w:tc>
          <w:tcPr>
            <w:tcW w:w="1238" w:type="dxa"/>
            <w:noWrap w:val="0"/>
            <w:vAlign w:val="center"/>
          </w:tcPr>
          <w:p w14:paraId="6D262A0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方正仿宋_GBK" w:eastAsia="仿宋_GB2312" w:cs="方正仿宋_GBK"/>
                <w:w w:val="90"/>
                <w:sz w:val="28"/>
                <w:szCs w:val="28"/>
                <w:lang w:val="en-US" w:eastAsia="zh-CN"/>
              </w:rPr>
            </w:pPr>
            <w:r>
              <w:rPr>
                <w:rFonts w:hint="eastAsia" w:ascii="仿宋_GB2312" w:hAnsi="方正仿宋_GBK" w:eastAsia="仿宋_GB2312" w:cs="方正仿宋_GBK"/>
                <w:w w:val="90"/>
                <w:sz w:val="28"/>
                <w:szCs w:val="28"/>
                <w:lang w:val="en-US" w:eastAsia="zh-CN"/>
              </w:rPr>
              <w:t>1000</w:t>
            </w:r>
          </w:p>
        </w:tc>
        <w:tc>
          <w:tcPr>
            <w:tcW w:w="1147" w:type="dxa"/>
            <w:vMerge w:val="continue"/>
            <w:noWrap w:val="0"/>
            <w:vAlign w:val="center"/>
          </w:tcPr>
          <w:p w14:paraId="7818E20C">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lang w:eastAsia="zh-CN"/>
              </w:rPr>
            </w:pPr>
          </w:p>
        </w:tc>
        <w:tc>
          <w:tcPr>
            <w:tcW w:w="1928" w:type="dxa"/>
            <w:vMerge w:val="restart"/>
            <w:noWrap w:val="0"/>
            <w:vAlign w:val="center"/>
          </w:tcPr>
          <w:p w14:paraId="5D8B2731">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lang w:eastAsia="zh-CN"/>
              </w:rPr>
            </w:pPr>
            <w:r>
              <w:rPr>
                <w:rFonts w:hint="eastAsia" w:ascii="仿宋_GB2312" w:hAnsi="方正仿宋_GBK" w:cs="方正仿宋_GBK"/>
                <w:w w:val="90"/>
                <w:sz w:val="28"/>
                <w:szCs w:val="28"/>
                <w:lang w:eastAsia="zh-CN"/>
              </w:rPr>
              <w:t>公益性公墓（骨灰堂）按照（洪发改价管字〔202</w:t>
            </w:r>
            <w:r>
              <w:rPr>
                <w:rFonts w:hint="eastAsia" w:ascii="仿宋_GB2312" w:hAnsi="方正仿宋_GBK" w:cs="方正仿宋_GBK"/>
                <w:w w:val="90"/>
                <w:sz w:val="28"/>
                <w:szCs w:val="28"/>
                <w:lang w:val="en-US" w:eastAsia="zh-CN"/>
              </w:rPr>
              <w:t>5</w:t>
            </w:r>
            <w:r>
              <w:rPr>
                <w:rFonts w:hint="eastAsia" w:ascii="仿宋_GB2312" w:hAnsi="方正仿宋_GBK" w:cs="方正仿宋_GBK"/>
                <w:w w:val="90"/>
                <w:sz w:val="28"/>
                <w:szCs w:val="28"/>
                <w:lang w:eastAsia="zh-CN"/>
              </w:rPr>
              <w:t>〕</w:t>
            </w:r>
            <w:r>
              <w:rPr>
                <w:rFonts w:hint="eastAsia" w:ascii="仿宋_GB2312" w:hAnsi="方正仿宋_GBK" w:cs="方正仿宋_GBK"/>
                <w:w w:val="90"/>
                <w:sz w:val="28"/>
                <w:szCs w:val="28"/>
                <w:lang w:val="en-US" w:eastAsia="zh-CN"/>
              </w:rPr>
              <w:t>27</w:t>
            </w:r>
            <w:r>
              <w:rPr>
                <w:rFonts w:hint="eastAsia" w:ascii="仿宋_GB2312" w:hAnsi="方正仿宋_GBK" w:cs="方正仿宋_GBK"/>
                <w:w w:val="90"/>
                <w:sz w:val="28"/>
                <w:szCs w:val="28"/>
                <w:lang w:eastAsia="zh-CN"/>
              </w:rPr>
              <w:t>号）执行</w:t>
            </w:r>
          </w:p>
        </w:tc>
      </w:tr>
      <w:tr w14:paraId="0858E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9" w:hRule="atLeast"/>
          <w:tblHeader/>
          <w:jc w:val="center"/>
        </w:trPr>
        <w:tc>
          <w:tcPr>
            <w:tcW w:w="500" w:type="dxa"/>
            <w:vMerge w:val="continue"/>
            <w:noWrap w:val="0"/>
            <w:vAlign w:val="center"/>
          </w:tcPr>
          <w:p w14:paraId="1EBC6105">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lang w:eastAsia="zh-CN"/>
              </w:rPr>
            </w:pPr>
          </w:p>
        </w:tc>
        <w:tc>
          <w:tcPr>
            <w:tcW w:w="982" w:type="dxa"/>
            <w:vMerge w:val="continue"/>
            <w:noWrap w:val="0"/>
            <w:vAlign w:val="center"/>
          </w:tcPr>
          <w:p w14:paraId="46D5D49B">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lang w:eastAsia="zh-CN"/>
              </w:rPr>
            </w:pPr>
          </w:p>
        </w:tc>
        <w:tc>
          <w:tcPr>
            <w:tcW w:w="1350" w:type="dxa"/>
            <w:vMerge w:val="continue"/>
            <w:noWrap w:val="0"/>
            <w:vAlign w:val="center"/>
          </w:tcPr>
          <w:p w14:paraId="7A5401D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p>
        </w:tc>
        <w:tc>
          <w:tcPr>
            <w:tcW w:w="1534" w:type="dxa"/>
            <w:noWrap w:val="0"/>
            <w:vAlign w:val="center"/>
          </w:tcPr>
          <w:p w14:paraId="36EF90C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城镇公益性公墓墓位维护管理费</w:t>
            </w:r>
          </w:p>
        </w:tc>
        <w:tc>
          <w:tcPr>
            <w:tcW w:w="4822" w:type="dxa"/>
            <w:vMerge w:val="continue"/>
            <w:noWrap w:val="0"/>
            <w:vAlign w:val="center"/>
          </w:tcPr>
          <w:p w14:paraId="0A546F41">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lang w:eastAsia="zh-CN"/>
              </w:rPr>
            </w:pPr>
          </w:p>
        </w:tc>
        <w:tc>
          <w:tcPr>
            <w:tcW w:w="1275" w:type="dxa"/>
            <w:vMerge w:val="continue"/>
            <w:noWrap w:val="0"/>
            <w:vAlign w:val="center"/>
          </w:tcPr>
          <w:p w14:paraId="0D61DC48">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lang w:eastAsia="zh-CN"/>
              </w:rPr>
            </w:pPr>
          </w:p>
        </w:tc>
        <w:tc>
          <w:tcPr>
            <w:tcW w:w="1238" w:type="dxa"/>
            <w:noWrap w:val="0"/>
            <w:vAlign w:val="center"/>
          </w:tcPr>
          <w:p w14:paraId="67B2AA1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方正仿宋_GBK" w:eastAsia="仿宋_GB2312" w:cs="方正仿宋_GBK"/>
                <w:w w:val="90"/>
                <w:sz w:val="28"/>
                <w:szCs w:val="28"/>
                <w:lang w:val="en-US" w:eastAsia="zh-CN"/>
              </w:rPr>
            </w:pPr>
            <w:r>
              <w:rPr>
                <w:rFonts w:hint="eastAsia" w:ascii="仿宋_GB2312" w:hAnsi="方正仿宋_GBK" w:eastAsia="仿宋_GB2312" w:cs="方正仿宋_GBK"/>
                <w:w w:val="90"/>
                <w:sz w:val="28"/>
                <w:szCs w:val="28"/>
                <w:lang w:val="en-US" w:eastAsia="zh-CN"/>
              </w:rPr>
              <w:t>单墓3800，双墓4900</w:t>
            </w:r>
          </w:p>
        </w:tc>
        <w:tc>
          <w:tcPr>
            <w:tcW w:w="1147" w:type="dxa"/>
            <w:vMerge w:val="continue"/>
            <w:noWrap w:val="0"/>
            <w:vAlign w:val="center"/>
          </w:tcPr>
          <w:p w14:paraId="5BD8C714">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lang w:eastAsia="zh-CN"/>
              </w:rPr>
            </w:pPr>
          </w:p>
        </w:tc>
        <w:tc>
          <w:tcPr>
            <w:tcW w:w="1928" w:type="dxa"/>
            <w:vMerge w:val="continue"/>
            <w:noWrap w:val="0"/>
            <w:vAlign w:val="center"/>
          </w:tcPr>
          <w:p w14:paraId="440960AB">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lang w:eastAsia="zh-CN"/>
              </w:rPr>
            </w:pPr>
          </w:p>
        </w:tc>
      </w:tr>
      <w:tr w14:paraId="13A7F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2" w:hRule="atLeast"/>
          <w:tblHeader/>
          <w:jc w:val="center"/>
        </w:trPr>
        <w:tc>
          <w:tcPr>
            <w:tcW w:w="500" w:type="dxa"/>
            <w:vMerge w:val="continue"/>
            <w:noWrap w:val="0"/>
            <w:vAlign w:val="center"/>
          </w:tcPr>
          <w:p w14:paraId="4A8D8E37">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lang w:eastAsia="zh-CN"/>
              </w:rPr>
            </w:pPr>
          </w:p>
        </w:tc>
        <w:tc>
          <w:tcPr>
            <w:tcW w:w="982" w:type="dxa"/>
            <w:vMerge w:val="continue"/>
            <w:noWrap w:val="0"/>
            <w:vAlign w:val="center"/>
          </w:tcPr>
          <w:p w14:paraId="2CA65317">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lang w:eastAsia="zh-CN"/>
              </w:rPr>
            </w:pPr>
          </w:p>
        </w:tc>
        <w:tc>
          <w:tcPr>
            <w:tcW w:w="1350" w:type="dxa"/>
            <w:vMerge w:val="continue"/>
            <w:noWrap w:val="0"/>
            <w:vAlign w:val="center"/>
          </w:tcPr>
          <w:p w14:paraId="7630413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p>
        </w:tc>
        <w:tc>
          <w:tcPr>
            <w:tcW w:w="1534" w:type="dxa"/>
            <w:noWrap w:val="0"/>
            <w:vAlign w:val="center"/>
          </w:tcPr>
          <w:p w14:paraId="21A53CD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非政府举办或参与举办的经营性公墓（骨灰堂）格位维护管理费</w:t>
            </w:r>
          </w:p>
        </w:tc>
        <w:tc>
          <w:tcPr>
            <w:tcW w:w="4822" w:type="dxa"/>
            <w:vMerge w:val="continue"/>
            <w:noWrap w:val="0"/>
            <w:vAlign w:val="center"/>
          </w:tcPr>
          <w:p w14:paraId="62307F16">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lang w:eastAsia="zh-CN"/>
              </w:rPr>
            </w:pPr>
          </w:p>
        </w:tc>
        <w:tc>
          <w:tcPr>
            <w:tcW w:w="1275" w:type="dxa"/>
            <w:vMerge w:val="continue"/>
            <w:noWrap w:val="0"/>
            <w:vAlign w:val="center"/>
          </w:tcPr>
          <w:p w14:paraId="12073854">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lang w:eastAsia="zh-CN"/>
              </w:rPr>
            </w:pPr>
          </w:p>
        </w:tc>
        <w:tc>
          <w:tcPr>
            <w:tcW w:w="1238" w:type="dxa"/>
            <w:noWrap w:val="0"/>
            <w:vAlign w:val="center"/>
          </w:tcPr>
          <w:p w14:paraId="7F3FC86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方正仿宋_GBK" w:eastAsia="仿宋_GB2312" w:cs="方正仿宋_GBK"/>
                <w:w w:val="90"/>
                <w:sz w:val="28"/>
                <w:szCs w:val="28"/>
                <w:lang w:val="en-US" w:eastAsia="zh-CN"/>
              </w:rPr>
            </w:pPr>
            <w:r>
              <w:rPr>
                <w:rFonts w:hint="eastAsia" w:ascii="仿宋_GB2312" w:hAnsi="方正仿宋_GBK" w:eastAsia="仿宋_GB2312" w:cs="方正仿宋_GBK"/>
                <w:w w:val="90"/>
                <w:sz w:val="28"/>
                <w:szCs w:val="28"/>
                <w:lang w:val="en-US" w:eastAsia="zh-CN"/>
              </w:rPr>
              <w:t>-</w:t>
            </w:r>
          </w:p>
        </w:tc>
        <w:tc>
          <w:tcPr>
            <w:tcW w:w="1147" w:type="dxa"/>
            <w:vMerge w:val="continue"/>
            <w:noWrap w:val="0"/>
            <w:vAlign w:val="center"/>
          </w:tcPr>
          <w:p w14:paraId="045E7779">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lang w:eastAsia="zh-CN"/>
              </w:rPr>
            </w:pPr>
          </w:p>
        </w:tc>
        <w:tc>
          <w:tcPr>
            <w:tcW w:w="1928" w:type="dxa"/>
            <w:vMerge w:val="continue"/>
            <w:noWrap w:val="0"/>
            <w:vAlign w:val="center"/>
          </w:tcPr>
          <w:p w14:paraId="02D6B66D">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lang w:eastAsia="zh-CN"/>
              </w:rPr>
            </w:pPr>
          </w:p>
        </w:tc>
      </w:tr>
      <w:tr w14:paraId="5DB6E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tblHeader/>
          <w:jc w:val="center"/>
        </w:trPr>
        <w:tc>
          <w:tcPr>
            <w:tcW w:w="500" w:type="dxa"/>
            <w:noWrap w:val="0"/>
            <w:vAlign w:val="center"/>
          </w:tcPr>
          <w:p w14:paraId="7BE9FE4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w w:val="90"/>
                <w:kern w:val="2"/>
                <w:sz w:val="40"/>
                <w:szCs w:val="48"/>
                <w:lang w:val="en-US" w:eastAsia="zh-CN" w:bidi="ar-SA"/>
              </w:rPr>
            </w:pPr>
            <w:r>
              <w:rPr>
                <w:rFonts w:hint="eastAsia" w:ascii="方正黑体_GBK" w:hAnsi="方正黑体_GBK" w:eastAsia="方正黑体_GBK" w:cs="方正黑体_GBK"/>
                <w:w w:val="90"/>
                <w:sz w:val="28"/>
                <w:szCs w:val="36"/>
              </w:rPr>
              <w:t>序号</w:t>
            </w:r>
          </w:p>
        </w:tc>
        <w:tc>
          <w:tcPr>
            <w:tcW w:w="982" w:type="dxa"/>
            <w:noWrap w:val="0"/>
            <w:vAlign w:val="center"/>
          </w:tcPr>
          <w:p w14:paraId="62416E2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w w:val="90"/>
                <w:kern w:val="2"/>
                <w:sz w:val="28"/>
                <w:szCs w:val="36"/>
                <w:lang w:val="en-US" w:eastAsia="zh-CN" w:bidi="ar-SA"/>
              </w:rPr>
            </w:pPr>
            <w:r>
              <w:rPr>
                <w:rFonts w:hint="eastAsia" w:ascii="方正黑体_GBK" w:hAnsi="方正黑体_GBK" w:eastAsia="方正黑体_GBK" w:cs="方正黑体_GBK"/>
                <w:w w:val="90"/>
                <w:sz w:val="28"/>
                <w:szCs w:val="36"/>
              </w:rPr>
              <w:t>价格管理类型</w:t>
            </w:r>
          </w:p>
        </w:tc>
        <w:tc>
          <w:tcPr>
            <w:tcW w:w="2884" w:type="dxa"/>
            <w:gridSpan w:val="2"/>
            <w:noWrap w:val="0"/>
            <w:vAlign w:val="center"/>
          </w:tcPr>
          <w:p w14:paraId="1457A70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w w:val="90"/>
                <w:kern w:val="2"/>
                <w:sz w:val="28"/>
                <w:szCs w:val="36"/>
                <w:lang w:val="en-US" w:eastAsia="zh-CN" w:bidi="ar-SA"/>
              </w:rPr>
            </w:pPr>
            <w:r>
              <w:rPr>
                <w:rFonts w:hint="eastAsia" w:ascii="方正黑体_GBK" w:hAnsi="方正黑体_GBK" w:eastAsia="方正黑体_GBK" w:cs="方正黑体_GBK"/>
                <w:w w:val="90"/>
                <w:sz w:val="28"/>
                <w:szCs w:val="36"/>
              </w:rPr>
              <w:t>服务项目</w:t>
            </w:r>
          </w:p>
        </w:tc>
        <w:tc>
          <w:tcPr>
            <w:tcW w:w="4822" w:type="dxa"/>
            <w:noWrap w:val="0"/>
            <w:vAlign w:val="center"/>
          </w:tcPr>
          <w:p w14:paraId="02E2F6C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w w:val="90"/>
                <w:kern w:val="2"/>
                <w:sz w:val="28"/>
                <w:szCs w:val="36"/>
                <w:lang w:val="en-US" w:eastAsia="zh-CN" w:bidi="ar-SA"/>
              </w:rPr>
            </w:pPr>
            <w:r>
              <w:rPr>
                <w:rFonts w:hint="eastAsia" w:ascii="方正黑体_GBK" w:hAnsi="方正黑体_GBK" w:eastAsia="方正黑体_GBK" w:cs="方正黑体_GBK"/>
                <w:w w:val="90"/>
                <w:sz w:val="28"/>
                <w:szCs w:val="36"/>
              </w:rPr>
              <w:t>服务内容</w:t>
            </w:r>
          </w:p>
        </w:tc>
        <w:tc>
          <w:tcPr>
            <w:tcW w:w="1275" w:type="dxa"/>
            <w:noWrap w:val="0"/>
            <w:vAlign w:val="center"/>
          </w:tcPr>
          <w:p w14:paraId="2A6B1A6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w w:val="90"/>
                <w:kern w:val="2"/>
                <w:sz w:val="28"/>
                <w:szCs w:val="36"/>
                <w:lang w:val="en-US" w:eastAsia="zh-CN" w:bidi="ar-SA"/>
              </w:rPr>
            </w:pPr>
            <w:r>
              <w:rPr>
                <w:rFonts w:hint="eastAsia" w:ascii="方正黑体_GBK" w:hAnsi="方正黑体_GBK" w:eastAsia="方正黑体_GBK" w:cs="方正黑体_GBK"/>
                <w:w w:val="90"/>
                <w:sz w:val="28"/>
                <w:szCs w:val="36"/>
                <w:lang w:eastAsia="zh-CN"/>
              </w:rPr>
              <w:t>计价单位</w:t>
            </w:r>
          </w:p>
        </w:tc>
        <w:tc>
          <w:tcPr>
            <w:tcW w:w="1238" w:type="dxa"/>
            <w:noWrap w:val="0"/>
            <w:vAlign w:val="center"/>
          </w:tcPr>
          <w:p w14:paraId="2790BB7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w w:val="90"/>
                <w:kern w:val="2"/>
                <w:sz w:val="28"/>
                <w:szCs w:val="36"/>
                <w:lang w:val="en-US" w:eastAsia="zh-CN" w:bidi="ar-SA"/>
              </w:rPr>
            </w:pPr>
            <w:r>
              <w:rPr>
                <w:rFonts w:hint="eastAsia" w:ascii="方正黑体_GBK" w:hAnsi="方正黑体_GBK" w:eastAsia="方正黑体_GBK" w:cs="方正黑体_GBK"/>
                <w:w w:val="90"/>
                <w:sz w:val="28"/>
                <w:szCs w:val="36"/>
              </w:rPr>
              <w:t>基准收费标准</w:t>
            </w:r>
          </w:p>
        </w:tc>
        <w:tc>
          <w:tcPr>
            <w:tcW w:w="1147" w:type="dxa"/>
            <w:noWrap w:val="0"/>
            <w:vAlign w:val="center"/>
          </w:tcPr>
          <w:p w14:paraId="64D6B1F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w w:val="90"/>
                <w:kern w:val="2"/>
                <w:sz w:val="28"/>
                <w:szCs w:val="36"/>
                <w:lang w:val="en-US" w:eastAsia="zh-CN" w:bidi="ar-SA"/>
              </w:rPr>
            </w:pPr>
            <w:r>
              <w:rPr>
                <w:rFonts w:hint="eastAsia" w:ascii="方正黑体_GBK" w:hAnsi="方正黑体_GBK" w:eastAsia="方正黑体_GBK" w:cs="方正黑体_GBK"/>
                <w:w w:val="90"/>
                <w:sz w:val="28"/>
                <w:szCs w:val="36"/>
                <w:lang w:eastAsia="zh-CN"/>
              </w:rPr>
              <w:t>上下浮动幅度</w:t>
            </w:r>
          </w:p>
        </w:tc>
        <w:tc>
          <w:tcPr>
            <w:tcW w:w="1928" w:type="dxa"/>
            <w:noWrap w:val="0"/>
            <w:vAlign w:val="center"/>
          </w:tcPr>
          <w:p w14:paraId="62A542E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w w:val="90"/>
                <w:kern w:val="2"/>
                <w:sz w:val="28"/>
                <w:szCs w:val="36"/>
                <w:lang w:val="en-US" w:eastAsia="zh-CN" w:bidi="ar-SA"/>
              </w:rPr>
            </w:pPr>
            <w:r>
              <w:rPr>
                <w:rFonts w:hint="eastAsia" w:ascii="方正黑体_GBK" w:hAnsi="方正黑体_GBK" w:eastAsia="方正黑体_GBK" w:cs="方正黑体_GBK"/>
                <w:w w:val="90"/>
                <w:sz w:val="28"/>
                <w:szCs w:val="36"/>
                <w:lang w:eastAsia="zh-CN"/>
              </w:rPr>
              <w:t>备注</w:t>
            </w:r>
          </w:p>
        </w:tc>
      </w:tr>
      <w:tr w14:paraId="4EBA9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blHeader/>
          <w:jc w:val="center"/>
        </w:trPr>
        <w:tc>
          <w:tcPr>
            <w:tcW w:w="500" w:type="dxa"/>
            <w:vMerge w:val="restart"/>
            <w:noWrap w:val="0"/>
            <w:vAlign w:val="center"/>
          </w:tcPr>
          <w:p w14:paraId="26793BB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方正仿宋_GBK" w:eastAsia="仿宋_GB2312" w:cs="方正仿宋_GBK"/>
                <w:w w:val="90"/>
                <w:sz w:val="28"/>
                <w:szCs w:val="36"/>
                <w:lang w:val="en-US" w:eastAsia="zh-CN"/>
              </w:rPr>
            </w:pPr>
            <w:r>
              <w:rPr>
                <w:rFonts w:hint="eastAsia" w:ascii="仿宋_GB2312" w:hAnsi="方正仿宋_GBK" w:eastAsia="仿宋_GB2312" w:cs="方正仿宋_GBK"/>
                <w:w w:val="90"/>
                <w:sz w:val="28"/>
                <w:szCs w:val="36"/>
                <w:lang w:val="en-US" w:eastAsia="zh-CN"/>
              </w:rPr>
              <w:t>10</w:t>
            </w:r>
          </w:p>
        </w:tc>
        <w:tc>
          <w:tcPr>
            <w:tcW w:w="982" w:type="dxa"/>
            <w:vMerge w:val="restart"/>
            <w:noWrap w:val="0"/>
            <w:vAlign w:val="center"/>
          </w:tcPr>
          <w:p w14:paraId="3C44BF58">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lang w:eastAsia="zh-CN"/>
              </w:rPr>
            </w:pPr>
            <w:r>
              <w:rPr>
                <w:rFonts w:hint="eastAsia" w:ascii="方正黑体_GBK" w:hAnsi="方正黑体_GBK" w:eastAsia="方正黑体_GBK" w:cs="方正黑体_GBK"/>
                <w:w w:val="90"/>
                <w:sz w:val="24"/>
                <w:szCs w:val="32"/>
                <w:lang w:eastAsia="zh-CN"/>
              </w:rPr>
              <w:t>基础项目：政府指导价</w:t>
            </w:r>
          </w:p>
        </w:tc>
        <w:tc>
          <w:tcPr>
            <w:tcW w:w="1350" w:type="dxa"/>
            <w:vMerge w:val="restart"/>
            <w:noWrap w:val="0"/>
            <w:vAlign w:val="center"/>
          </w:tcPr>
          <w:p w14:paraId="60552F1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守灵厅租用</w:t>
            </w:r>
          </w:p>
        </w:tc>
        <w:tc>
          <w:tcPr>
            <w:tcW w:w="1534" w:type="dxa"/>
            <w:noWrap w:val="0"/>
            <w:vAlign w:val="center"/>
          </w:tcPr>
          <w:p w14:paraId="1238624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小厅</w:t>
            </w:r>
          </w:p>
        </w:tc>
        <w:tc>
          <w:tcPr>
            <w:tcW w:w="4822" w:type="dxa"/>
            <w:vMerge w:val="restart"/>
            <w:noWrap w:val="0"/>
            <w:vAlign w:val="center"/>
          </w:tcPr>
          <w:p w14:paraId="5D82422E">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守灵厅氛围背景布置、设施设备使用费、水电费、人力成本和围棺绢花等费用。</w:t>
            </w:r>
          </w:p>
        </w:tc>
        <w:tc>
          <w:tcPr>
            <w:tcW w:w="1275" w:type="dxa"/>
            <w:vMerge w:val="restart"/>
            <w:noWrap w:val="0"/>
            <w:vAlign w:val="center"/>
          </w:tcPr>
          <w:p w14:paraId="097A034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方正仿宋_GBK" w:eastAsia="仿宋_GB2312" w:cs="方正仿宋_GBK"/>
                <w:w w:val="90"/>
                <w:sz w:val="28"/>
                <w:szCs w:val="28"/>
                <w:lang w:val="en-US" w:eastAsia="zh-CN"/>
              </w:rPr>
            </w:pPr>
            <w:r>
              <w:rPr>
                <w:rFonts w:hint="eastAsia" w:ascii="仿宋_GB2312" w:hAnsi="方正仿宋_GBK" w:eastAsia="仿宋_GB2312" w:cs="方正仿宋_GBK"/>
                <w:w w:val="90"/>
                <w:sz w:val="28"/>
                <w:szCs w:val="28"/>
                <w:lang w:eastAsia="zh-CN"/>
              </w:rPr>
              <w:t>元</w:t>
            </w:r>
            <w:r>
              <w:rPr>
                <w:rFonts w:hint="eastAsia" w:ascii="仿宋_GB2312" w:hAnsi="方正仿宋_GBK" w:eastAsia="仿宋_GB2312" w:cs="方正仿宋_GBK"/>
                <w:w w:val="90"/>
                <w:sz w:val="28"/>
                <w:szCs w:val="28"/>
                <w:lang w:val="en-US" w:eastAsia="zh-CN"/>
              </w:rPr>
              <w:t>/小时</w:t>
            </w:r>
          </w:p>
        </w:tc>
        <w:tc>
          <w:tcPr>
            <w:tcW w:w="1238" w:type="dxa"/>
            <w:noWrap w:val="0"/>
            <w:vAlign w:val="center"/>
          </w:tcPr>
          <w:p w14:paraId="692E218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方正仿宋_GBK" w:eastAsia="仿宋_GB2312" w:cs="方正仿宋_GBK"/>
                <w:w w:val="90"/>
                <w:sz w:val="28"/>
                <w:szCs w:val="28"/>
                <w:lang w:val="en-US" w:eastAsia="zh-CN"/>
              </w:rPr>
            </w:pPr>
            <w:r>
              <w:rPr>
                <w:rFonts w:hint="eastAsia" w:ascii="仿宋_GB2312" w:hAnsi="方正仿宋_GBK" w:eastAsia="仿宋_GB2312" w:cs="方正仿宋_GBK"/>
                <w:w w:val="90"/>
                <w:sz w:val="28"/>
                <w:szCs w:val="28"/>
                <w:lang w:val="en-US" w:eastAsia="zh-CN"/>
              </w:rPr>
              <w:t>20</w:t>
            </w:r>
          </w:p>
        </w:tc>
        <w:tc>
          <w:tcPr>
            <w:tcW w:w="1147" w:type="dxa"/>
            <w:vMerge w:val="restart"/>
            <w:noWrap w:val="0"/>
            <w:vAlign w:val="center"/>
          </w:tcPr>
          <w:p w14:paraId="0BB845AC">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_GB2312" w:hAnsi="方正仿宋_GBK" w:eastAsia="仿宋_GB2312" w:cs="方正仿宋_GBK"/>
                <w:w w:val="90"/>
                <w:sz w:val="28"/>
                <w:szCs w:val="28"/>
                <w:lang w:eastAsia="zh-CN"/>
              </w:rPr>
            </w:pPr>
            <w:r>
              <w:rPr>
                <w:rFonts w:hint="eastAsia" w:ascii="方正黑体_GBK" w:hAnsi="方正黑体_GBK" w:eastAsia="方正黑体_GBK" w:cs="方正黑体_GBK"/>
                <w:w w:val="90"/>
                <w:sz w:val="24"/>
                <w:szCs w:val="32"/>
              </w:rPr>
              <w:t>上浮不超过15%，下浮不限。</w:t>
            </w:r>
          </w:p>
        </w:tc>
        <w:tc>
          <w:tcPr>
            <w:tcW w:w="1928" w:type="dxa"/>
            <w:vMerge w:val="restart"/>
            <w:noWrap w:val="0"/>
            <w:vAlign w:val="center"/>
          </w:tcPr>
          <w:p w14:paraId="6DDE85B2">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仿宋_GB2312" w:hAnsi="方正仿宋_GBK" w:eastAsia="仿宋_GB2312" w:cs="方正仿宋_GBK"/>
                <w:w w:val="90"/>
                <w:sz w:val="28"/>
                <w:szCs w:val="28"/>
                <w:lang w:val="en-US" w:eastAsia="zh-CN"/>
              </w:rPr>
            </w:pPr>
            <w:r>
              <w:rPr>
                <w:rFonts w:hint="eastAsia" w:ascii="仿宋_GB2312" w:hAnsi="方正仿宋_GBK" w:eastAsia="仿宋_GB2312" w:cs="方正仿宋_GBK"/>
                <w:w w:val="90"/>
                <w:sz w:val="18"/>
                <w:szCs w:val="18"/>
                <w:lang w:val="en-US" w:eastAsia="zh-CN"/>
              </w:rPr>
              <w:t>小厅面积90㎡以内，中厅面积91㎡-240㎡，大厅面积241㎡以上。租用以协议约定时间计费，不足1小时按1小时计</w:t>
            </w:r>
            <w:r>
              <w:rPr>
                <w:rFonts w:hint="eastAsia" w:ascii="仿宋_GB2312" w:hAnsi="方正仿宋_GBK" w:eastAsia="仿宋_GB2312" w:cs="方正仿宋_GBK"/>
                <w:w w:val="90"/>
                <w:sz w:val="20"/>
                <w:szCs w:val="20"/>
                <w:lang w:val="en-US" w:eastAsia="zh-CN"/>
              </w:rPr>
              <w:t>。守灵、告别一体厅单独用作守灵或告别场景时，分开计费</w:t>
            </w:r>
            <w:r>
              <w:rPr>
                <w:rFonts w:hint="eastAsia" w:ascii="仿宋_GB2312" w:hAnsi="方正仿宋_GBK" w:cs="方正仿宋_GBK"/>
                <w:w w:val="90"/>
                <w:sz w:val="20"/>
                <w:szCs w:val="20"/>
                <w:lang w:val="en-US" w:eastAsia="zh-CN"/>
              </w:rPr>
              <w:t>。</w:t>
            </w:r>
          </w:p>
        </w:tc>
      </w:tr>
      <w:tr w14:paraId="2575F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blHeader/>
          <w:jc w:val="center"/>
        </w:trPr>
        <w:tc>
          <w:tcPr>
            <w:tcW w:w="500" w:type="dxa"/>
            <w:vMerge w:val="continue"/>
            <w:noWrap w:val="0"/>
            <w:vAlign w:val="center"/>
          </w:tcPr>
          <w:p w14:paraId="2A9552F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36"/>
                <w:lang w:val="en-US" w:eastAsia="zh-CN"/>
              </w:rPr>
            </w:pPr>
          </w:p>
        </w:tc>
        <w:tc>
          <w:tcPr>
            <w:tcW w:w="982" w:type="dxa"/>
            <w:vMerge w:val="continue"/>
            <w:noWrap w:val="0"/>
            <w:vAlign w:val="center"/>
          </w:tcPr>
          <w:p w14:paraId="128FB7FB">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lang w:eastAsia="zh-CN"/>
              </w:rPr>
            </w:pPr>
          </w:p>
        </w:tc>
        <w:tc>
          <w:tcPr>
            <w:tcW w:w="1350" w:type="dxa"/>
            <w:vMerge w:val="continue"/>
            <w:noWrap w:val="0"/>
            <w:vAlign w:val="center"/>
          </w:tcPr>
          <w:p w14:paraId="46CFE38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p>
        </w:tc>
        <w:tc>
          <w:tcPr>
            <w:tcW w:w="1534" w:type="dxa"/>
            <w:noWrap w:val="0"/>
            <w:vAlign w:val="center"/>
          </w:tcPr>
          <w:p w14:paraId="1D4030F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中厅</w:t>
            </w:r>
          </w:p>
        </w:tc>
        <w:tc>
          <w:tcPr>
            <w:tcW w:w="4822" w:type="dxa"/>
            <w:vMerge w:val="continue"/>
            <w:noWrap w:val="0"/>
            <w:vAlign w:val="center"/>
          </w:tcPr>
          <w:p w14:paraId="20251D61">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lang w:eastAsia="zh-CN"/>
              </w:rPr>
            </w:pPr>
          </w:p>
        </w:tc>
        <w:tc>
          <w:tcPr>
            <w:tcW w:w="1275" w:type="dxa"/>
            <w:vMerge w:val="continue"/>
            <w:noWrap w:val="0"/>
            <w:vAlign w:val="center"/>
          </w:tcPr>
          <w:p w14:paraId="39490B7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p>
        </w:tc>
        <w:tc>
          <w:tcPr>
            <w:tcW w:w="1238" w:type="dxa"/>
            <w:noWrap w:val="0"/>
            <w:vAlign w:val="center"/>
          </w:tcPr>
          <w:p w14:paraId="753EC50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方正仿宋_GBK" w:eastAsia="仿宋_GB2312" w:cs="方正仿宋_GBK"/>
                <w:w w:val="90"/>
                <w:sz w:val="28"/>
                <w:szCs w:val="28"/>
                <w:lang w:val="en-US" w:eastAsia="zh-CN"/>
              </w:rPr>
            </w:pPr>
            <w:r>
              <w:rPr>
                <w:rFonts w:hint="eastAsia" w:ascii="仿宋_GB2312" w:hAnsi="方正仿宋_GBK" w:eastAsia="仿宋_GB2312" w:cs="方正仿宋_GBK"/>
                <w:w w:val="90"/>
                <w:sz w:val="28"/>
                <w:szCs w:val="28"/>
                <w:lang w:val="en-US" w:eastAsia="zh-CN"/>
              </w:rPr>
              <w:t>55</w:t>
            </w:r>
          </w:p>
        </w:tc>
        <w:tc>
          <w:tcPr>
            <w:tcW w:w="1147" w:type="dxa"/>
            <w:vMerge w:val="continue"/>
            <w:noWrap w:val="0"/>
            <w:vAlign w:val="center"/>
          </w:tcPr>
          <w:p w14:paraId="786A951E">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lang w:eastAsia="zh-CN"/>
              </w:rPr>
            </w:pPr>
          </w:p>
        </w:tc>
        <w:tc>
          <w:tcPr>
            <w:tcW w:w="1928" w:type="dxa"/>
            <w:vMerge w:val="continue"/>
            <w:noWrap w:val="0"/>
            <w:vAlign w:val="center"/>
          </w:tcPr>
          <w:p w14:paraId="109FD4DE">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lang w:eastAsia="zh-CN"/>
              </w:rPr>
            </w:pPr>
          </w:p>
        </w:tc>
      </w:tr>
      <w:tr w14:paraId="3C23D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8" w:hRule="atLeast"/>
          <w:tblHeader/>
          <w:jc w:val="center"/>
        </w:trPr>
        <w:tc>
          <w:tcPr>
            <w:tcW w:w="500" w:type="dxa"/>
            <w:vMerge w:val="continue"/>
            <w:noWrap w:val="0"/>
            <w:vAlign w:val="center"/>
          </w:tcPr>
          <w:p w14:paraId="0B544EB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36"/>
                <w:lang w:val="en-US" w:eastAsia="zh-CN"/>
              </w:rPr>
            </w:pPr>
          </w:p>
        </w:tc>
        <w:tc>
          <w:tcPr>
            <w:tcW w:w="982" w:type="dxa"/>
            <w:vMerge w:val="continue"/>
            <w:noWrap w:val="0"/>
            <w:vAlign w:val="center"/>
          </w:tcPr>
          <w:p w14:paraId="73CDF2AD">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lang w:eastAsia="zh-CN"/>
              </w:rPr>
            </w:pPr>
          </w:p>
        </w:tc>
        <w:tc>
          <w:tcPr>
            <w:tcW w:w="1350" w:type="dxa"/>
            <w:vMerge w:val="continue"/>
            <w:noWrap w:val="0"/>
            <w:vAlign w:val="center"/>
          </w:tcPr>
          <w:p w14:paraId="0328BC1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p>
        </w:tc>
        <w:tc>
          <w:tcPr>
            <w:tcW w:w="1534" w:type="dxa"/>
            <w:noWrap w:val="0"/>
            <w:vAlign w:val="center"/>
          </w:tcPr>
          <w:p w14:paraId="3A9F198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大厅</w:t>
            </w:r>
          </w:p>
        </w:tc>
        <w:tc>
          <w:tcPr>
            <w:tcW w:w="4822" w:type="dxa"/>
            <w:vMerge w:val="continue"/>
            <w:noWrap w:val="0"/>
            <w:vAlign w:val="center"/>
          </w:tcPr>
          <w:p w14:paraId="37E8FE38">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lang w:eastAsia="zh-CN"/>
              </w:rPr>
            </w:pPr>
          </w:p>
        </w:tc>
        <w:tc>
          <w:tcPr>
            <w:tcW w:w="1275" w:type="dxa"/>
            <w:vMerge w:val="continue"/>
            <w:noWrap w:val="0"/>
            <w:vAlign w:val="center"/>
          </w:tcPr>
          <w:p w14:paraId="045BA21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p>
        </w:tc>
        <w:tc>
          <w:tcPr>
            <w:tcW w:w="1238" w:type="dxa"/>
            <w:noWrap w:val="0"/>
            <w:vAlign w:val="center"/>
          </w:tcPr>
          <w:p w14:paraId="7AD4536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方正仿宋_GBK" w:eastAsia="仿宋_GB2312" w:cs="方正仿宋_GBK"/>
                <w:w w:val="90"/>
                <w:sz w:val="28"/>
                <w:szCs w:val="28"/>
                <w:lang w:val="en-US" w:eastAsia="zh-CN"/>
              </w:rPr>
            </w:pPr>
            <w:r>
              <w:rPr>
                <w:rFonts w:hint="eastAsia" w:ascii="仿宋_GB2312" w:hAnsi="方正仿宋_GBK" w:eastAsia="仿宋_GB2312" w:cs="方正仿宋_GBK"/>
                <w:w w:val="90"/>
                <w:sz w:val="28"/>
                <w:szCs w:val="28"/>
                <w:lang w:val="en-US" w:eastAsia="zh-CN"/>
              </w:rPr>
              <w:t>82</w:t>
            </w:r>
          </w:p>
        </w:tc>
        <w:tc>
          <w:tcPr>
            <w:tcW w:w="1147" w:type="dxa"/>
            <w:vMerge w:val="continue"/>
            <w:noWrap w:val="0"/>
            <w:vAlign w:val="center"/>
          </w:tcPr>
          <w:p w14:paraId="0716319F">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lang w:eastAsia="zh-CN"/>
              </w:rPr>
            </w:pPr>
          </w:p>
        </w:tc>
        <w:tc>
          <w:tcPr>
            <w:tcW w:w="1928" w:type="dxa"/>
            <w:vMerge w:val="continue"/>
            <w:noWrap w:val="0"/>
            <w:vAlign w:val="center"/>
          </w:tcPr>
          <w:p w14:paraId="0C27807F">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lang w:eastAsia="zh-CN"/>
              </w:rPr>
            </w:pPr>
          </w:p>
        </w:tc>
      </w:tr>
      <w:tr w14:paraId="3C471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tblHeader/>
          <w:jc w:val="center"/>
        </w:trPr>
        <w:tc>
          <w:tcPr>
            <w:tcW w:w="500" w:type="dxa"/>
            <w:vMerge w:val="restart"/>
            <w:noWrap w:val="0"/>
            <w:vAlign w:val="center"/>
          </w:tcPr>
          <w:p w14:paraId="53A9700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方正仿宋_GBK" w:eastAsia="仿宋_GB2312" w:cs="方正仿宋_GBK"/>
                <w:w w:val="90"/>
                <w:sz w:val="28"/>
                <w:szCs w:val="36"/>
                <w:lang w:val="en-US" w:eastAsia="zh-CN"/>
              </w:rPr>
            </w:pPr>
            <w:r>
              <w:rPr>
                <w:rFonts w:hint="eastAsia" w:ascii="仿宋_GB2312" w:hAnsi="方正仿宋_GBK" w:eastAsia="仿宋_GB2312" w:cs="方正仿宋_GBK"/>
                <w:w w:val="90"/>
                <w:sz w:val="28"/>
                <w:szCs w:val="36"/>
                <w:lang w:val="en-US" w:eastAsia="zh-CN"/>
              </w:rPr>
              <w:t>11</w:t>
            </w:r>
          </w:p>
        </w:tc>
        <w:tc>
          <w:tcPr>
            <w:tcW w:w="982" w:type="dxa"/>
            <w:vMerge w:val="continue"/>
            <w:noWrap w:val="0"/>
            <w:vAlign w:val="center"/>
          </w:tcPr>
          <w:p w14:paraId="2574FB70">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lang w:eastAsia="zh-CN"/>
              </w:rPr>
            </w:pPr>
          </w:p>
        </w:tc>
        <w:tc>
          <w:tcPr>
            <w:tcW w:w="1350" w:type="dxa"/>
            <w:vMerge w:val="restart"/>
            <w:noWrap w:val="0"/>
            <w:vAlign w:val="center"/>
          </w:tcPr>
          <w:p w14:paraId="0DA3392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遗体整容化妆</w:t>
            </w:r>
          </w:p>
        </w:tc>
        <w:tc>
          <w:tcPr>
            <w:tcW w:w="1534" w:type="dxa"/>
            <w:noWrap w:val="0"/>
            <w:vAlign w:val="center"/>
          </w:tcPr>
          <w:p w14:paraId="040B03A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普通</w:t>
            </w:r>
          </w:p>
        </w:tc>
        <w:tc>
          <w:tcPr>
            <w:tcW w:w="4822" w:type="dxa"/>
            <w:vMerge w:val="restart"/>
            <w:noWrap w:val="0"/>
            <w:vAlign w:val="center"/>
          </w:tcPr>
          <w:p w14:paraId="0DF0F60A">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包括遗体整容或化妆的人力和材料费用。</w:t>
            </w:r>
          </w:p>
        </w:tc>
        <w:tc>
          <w:tcPr>
            <w:tcW w:w="1275" w:type="dxa"/>
            <w:vMerge w:val="restart"/>
            <w:noWrap w:val="0"/>
            <w:vAlign w:val="center"/>
          </w:tcPr>
          <w:p w14:paraId="7F093ED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方正仿宋_GBK" w:eastAsia="仿宋_GB2312" w:cs="方正仿宋_GBK"/>
                <w:w w:val="90"/>
                <w:sz w:val="28"/>
                <w:szCs w:val="28"/>
                <w:lang w:val="en-US" w:eastAsia="zh-CN"/>
              </w:rPr>
            </w:pPr>
            <w:r>
              <w:rPr>
                <w:rFonts w:hint="eastAsia" w:ascii="仿宋_GB2312" w:hAnsi="方正仿宋_GBK" w:eastAsia="仿宋_GB2312" w:cs="方正仿宋_GBK"/>
                <w:w w:val="90"/>
                <w:sz w:val="28"/>
                <w:szCs w:val="28"/>
                <w:lang w:eastAsia="zh-CN"/>
              </w:rPr>
              <w:t>元</w:t>
            </w:r>
            <w:r>
              <w:rPr>
                <w:rFonts w:hint="eastAsia" w:ascii="仿宋_GB2312" w:hAnsi="方正仿宋_GBK" w:eastAsia="仿宋_GB2312" w:cs="方正仿宋_GBK"/>
                <w:w w:val="90"/>
                <w:sz w:val="28"/>
                <w:szCs w:val="28"/>
                <w:lang w:val="en-US" w:eastAsia="zh-CN"/>
              </w:rPr>
              <w:t>/具</w:t>
            </w:r>
          </w:p>
        </w:tc>
        <w:tc>
          <w:tcPr>
            <w:tcW w:w="1238" w:type="dxa"/>
            <w:noWrap w:val="0"/>
            <w:vAlign w:val="center"/>
          </w:tcPr>
          <w:p w14:paraId="6065EC7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方正仿宋_GBK" w:eastAsia="仿宋_GB2312" w:cs="方正仿宋_GBK"/>
                <w:w w:val="90"/>
                <w:sz w:val="28"/>
                <w:szCs w:val="28"/>
                <w:lang w:val="en-US" w:eastAsia="zh-CN"/>
              </w:rPr>
            </w:pPr>
            <w:r>
              <w:rPr>
                <w:rFonts w:hint="eastAsia" w:ascii="仿宋_GB2312" w:hAnsi="方正仿宋_GBK" w:eastAsia="仿宋_GB2312" w:cs="方正仿宋_GBK"/>
                <w:w w:val="90"/>
                <w:sz w:val="28"/>
                <w:szCs w:val="28"/>
                <w:lang w:val="en-US" w:eastAsia="zh-CN"/>
              </w:rPr>
              <w:t>80</w:t>
            </w:r>
          </w:p>
        </w:tc>
        <w:tc>
          <w:tcPr>
            <w:tcW w:w="1147" w:type="dxa"/>
            <w:vMerge w:val="continue"/>
            <w:noWrap w:val="0"/>
            <w:vAlign w:val="center"/>
          </w:tcPr>
          <w:p w14:paraId="1EF693F1">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lang w:eastAsia="zh-CN"/>
              </w:rPr>
            </w:pPr>
          </w:p>
        </w:tc>
        <w:tc>
          <w:tcPr>
            <w:tcW w:w="1928" w:type="dxa"/>
            <w:vMerge w:val="restart"/>
            <w:noWrap w:val="0"/>
            <w:vAlign w:val="center"/>
          </w:tcPr>
          <w:p w14:paraId="24DA68C5">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lang w:eastAsia="zh-CN"/>
              </w:rPr>
            </w:pPr>
          </w:p>
        </w:tc>
      </w:tr>
      <w:tr w14:paraId="406DA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tblHeader/>
          <w:jc w:val="center"/>
        </w:trPr>
        <w:tc>
          <w:tcPr>
            <w:tcW w:w="500" w:type="dxa"/>
            <w:vMerge w:val="continue"/>
            <w:noWrap w:val="0"/>
            <w:vAlign w:val="center"/>
          </w:tcPr>
          <w:p w14:paraId="70D979D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36"/>
                <w:lang w:val="en-US" w:eastAsia="zh-CN"/>
              </w:rPr>
            </w:pPr>
          </w:p>
        </w:tc>
        <w:tc>
          <w:tcPr>
            <w:tcW w:w="982" w:type="dxa"/>
            <w:vMerge w:val="continue"/>
            <w:noWrap w:val="0"/>
            <w:vAlign w:val="center"/>
          </w:tcPr>
          <w:p w14:paraId="5811A568">
            <w:pPr>
              <w:keepNext w:val="0"/>
              <w:keepLines w:val="0"/>
              <w:pageBreakBefore w:val="0"/>
              <w:widowControl w:val="0"/>
              <w:kinsoku/>
              <w:wordWrap/>
              <w:overflowPunct/>
              <w:topLinePunct w:val="0"/>
              <w:autoSpaceDE/>
              <w:autoSpaceDN/>
              <w:bidi w:val="0"/>
              <w:adjustRightInd/>
              <w:snapToGrid/>
              <w:spacing w:line="320" w:lineRule="exact"/>
              <w:jc w:val="left"/>
              <w:textAlignment w:val="auto"/>
            </w:pPr>
          </w:p>
        </w:tc>
        <w:tc>
          <w:tcPr>
            <w:tcW w:w="1350" w:type="dxa"/>
            <w:vMerge w:val="continue"/>
            <w:noWrap w:val="0"/>
            <w:vAlign w:val="center"/>
          </w:tcPr>
          <w:p w14:paraId="596D0212">
            <w:pPr>
              <w:keepNext w:val="0"/>
              <w:keepLines w:val="0"/>
              <w:pageBreakBefore w:val="0"/>
              <w:widowControl w:val="0"/>
              <w:kinsoku/>
              <w:wordWrap/>
              <w:overflowPunct/>
              <w:topLinePunct w:val="0"/>
              <w:autoSpaceDE/>
              <w:autoSpaceDN/>
              <w:bidi w:val="0"/>
              <w:adjustRightInd/>
              <w:snapToGrid/>
              <w:spacing w:line="320" w:lineRule="exact"/>
              <w:jc w:val="center"/>
              <w:textAlignment w:val="auto"/>
            </w:pPr>
          </w:p>
        </w:tc>
        <w:tc>
          <w:tcPr>
            <w:tcW w:w="1534" w:type="dxa"/>
            <w:noWrap w:val="0"/>
            <w:vAlign w:val="center"/>
          </w:tcPr>
          <w:p w14:paraId="49E73C0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轻度</w:t>
            </w:r>
          </w:p>
        </w:tc>
        <w:tc>
          <w:tcPr>
            <w:tcW w:w="4822" w:type="dxa"/>
            <w:vMerge w:val="continue"/>
            <w:noWrap w:val="0"/>
            <w:vAlign w:val="center"/>
          </w:tcPr>
          <w:p w14:paraId="592026F0">
            <w:pPr>
              <w:keepNext w:val="0"/>
              <w:keepLines w:val="0"/>
              <w:pageBreakBefore w:val="0"/>
              <w:widowControl w:val="0"/>
              <w:kinsoku/>
              <w:wordWrap/>
              <w:overflowPunct/>
              <w:topLinePunct w:val="0"/>
              <w:autoSpaceDE/>
              <w:autoSpaceDN/>
              <w:bidi w:val="0"/>
              <w:adjustRightInd/>
              <w:snapToGrid/>
              <w:spacing w:line="320" w:lineRule="exact"/>
              <w:jc w:val="left"/>
              <w:textAlignment w:val="auto"/>
            </w:pPr>
          </w:p>
        </w:tc>
        <w:tc>
          <w:tcPr>
            <w:tcW w:w="1275" w:type="dxa"/>
            <w:vMerge w:val="continue"/>
            <w:noWrap w:val="0"/>
            <w:vAlign w:val="center"/>
          </w:tcPr>
          <w:p w14:paraId="244BE7AF">
            <w:pPr>
              <w:keepNext w:val="0"/>
              <w:keepLines w:val="0"/>
              <w:pageBreakBefore w:val="0"/>
              <w:widowControl w:val="0"/>
              <w:kinsoku/>
              <w:wordWrap/>
              <w:overflowPunct/>
              <w:topLinePunct w:val="0"/>
              <w:autoSpaceDE/>
              <w:autoSpaceDN/>
              <w:bidi w:val="0"/>
              <w:adjustRightInd/>
              <w:snapToGrid/>
              <w:spacing w:line="320" w:lineRule="exact"/>
              <w:jc w:val="center"/>
              <w:textAlignment w:val="auto"/>
            </w:pPr>
          </w:p>
        </w:tc>
        <w:tc>
          <w:tcPr>
            <w:tcW w:w="1238" w:type="dxa"/>
            <w:noWrap w:val="0"/>
            <w:vAlign w:val="center"/>
          </w:tcPr>
          <w:p w14:paraId="2B93CAC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方正仿宋_GBK" w:eastAsia="仿宋_GB2312" w:cs="方正仿宋_GBK"/>
                <w:w w:val="90"/>
                <w:sz w:val="28"/>
                <w:szCs w:val="28"/>
                <w:lang w:val="en-US" w:eastAsia="zh-CN"/>
              </w:rPr>
            </w:pPr>
            <w:r>
              <w:rPr>
                <w:rFonts w:hint="eastAsia" w:ascii="仿宋_GB2312" w:hAnsi="方正仿宋_GBK" w:eastAsia="仿宋_GB2312" w:cs="方正仿宋_GBK"/>
                <w:w w:val="90"/>
                <w:sz w:val="28"/>
                <w:szCs w:val="28"/>
                <w:lang w:val="en-US" w:eastAsia="zh-CN"/>
              </w:rPr>
              <w:t>160</w:t>
            </w:r>
          </w:p>
        </w:tc>
        <w:tc>
          <w:tcPr>
            <w:tcW w:w="1147" w:type="dxa"/>
            <w:vMerge w:val="continue"/>
            <w:noWrap w:val="0"/>
            <w:vAlign w:val="center"/>
          </w:tcPr>
          <w:p w14:paraId="634747C9">
            <w:pPr>
              <w:keepNext w:val="0"/>
              <w:keepLines w:val="0"/>
              <w:pageBreakBefore w:val="0"/>
              <w:widowControl w:val="0"/>
              <w:kinsoku/>
              <w:wordWrap/>
              <w:overflowPunct/>
              <w:topLinePunct w:val="0"/>
              <w:autoSpaceDE/>
              <w:autoSpaceDN/>
              <w:bidi w:val="0"/>
              <w:adjustRightInd/>
              <w:snapToGrid/>
              <w:spacing w:line="320" w:lineRule="exact"/>
              <w:jc w:val="left"/>
              <w:textAlignment w:val="auto"/>
            </w:pPr>
          </w:p>
        </w:tc>
        <w:tc>
          <w:tcPr>
            <w:tcW w:w="1928" w:type="dxa"/>
            <w:vMerge w:val="continue"/>
            <w:noWrap w:val="0"/>
            <w:vAlign w:val="center"/>
          </w:tcPr>
          <w:p w14:paraId="2C9AA4B7">
            <w:pPr>
              <w:keepNext w:val="0"/>
              <w:keepLines w:val="0"/>
              <w:pageBreakBefore w:val="0"/>
              <w:widowControl w:val="0"/>
              <w:kinsoku/>
              <w:wordWrap/>
              <w:overflowPunct/>
              <w:topLinePunct w:val="0"/>
              <w:autoSpaceDE/>
              <w:autoSpaceDN/>
              <w:bidi w:val="0"/>
              <w:adjustRightInd/>
              <w:snapToGrid/>
              <w:spacing w:line="320" w:lineRule="exact"/>
              <w:jc w:val="left"/>
              <w:textAlignment w:val="auto"/>
            </w:pPr>
          </w:p>
        </w:tc>
      </w:tr>
      <w:tr w14:paraId="16B8B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blHeader/>
          <w:jc w:val="center"/>
        </w:trPr>
        <w:tc>
          <w:tcPr>
            <w:tcW w:w="500" w:type="dxa"/>
            <w:vMerge w:val="continue"/>
            <w:noWrap w:val="0"/>
            <w:vAlign w:val="center"/>
          </w:tcPr>
          <w:p w14:paraId="399F59F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36"/>
                <w:lang w:val="en-US" w:eastAsia="zh-CN"/>
              </w:rPr>
            </w:pPr>
          </w:p>
        </w:tc>
        <w:tc>
          <w:tcPr>
            <w:tcW w:w="982" w:type="dxa"/>
            <w:vMerge w:val="continue"/>
            <w:noWrap w:val="0"/>
            <w:vAlign w:val="center"/>
          </w:tcPr>
          <w:p w14:paraId="30A4EC49">
            <w:pPr>
              <w:keepNext w:val="0"/>
              <w:keepLines w:val="0"/>
              <w:pageBreakBefore w:val="0"/>
              <w:widowControl w:val="0"/>
              <w:kinsoku/>
              <w:wordWrap/>
              <w:overflowPunct/>
              <w:topLinePunct w:val="0"/>
              <w:autoSpaceDE/>
              <w:autoSpaceDN/>
              <w:bidi w:val="0"/>
              <w:adjustRightInd/>
              <w:snapToGrid/>
              <w:spacing w:line="320" w:lineRule="exact"/>
              <w:jc w:val="left"/>
              <w:textAlignment w:val="auto"/>
            </w:pPr>
          </w:p>
        </w:tc>
        <w:tc>
          <w:tcPr>
            <w:tcW w:w="1350" w:type="dxa"/>
            <w:vMerge w:val="continue"/>
            <w:noWrap w:val="0"/>
            <w:vAlign w:val="center"/>
          </w:tcPr>
          <w:p w14:paraId="34F164C3">
            <w:pPr>
              <w:keepNext w:val="0"/>
              <w:keepLines w:val="0"/>
              <w:pageBreakBefore w:val="0"/>
              <w:widowControl w:val="0"/>
              <w:kinsoku/>
              <w:wordWrap/>
              <w:overflowPunct/>
              <w:topLinePunct w:val="0"/>
              <w:autoSpaceDE/>
              <w:autoSpaceDN/>
              <w:bidi w:val="0"/>
              <w:adjustRightInd/>
              <w:snapToGrid/>
              <w:spacing w:line="320" w:lineRule="exact"/>
              <w:jc w:val="center"/>
              <w:textAlignment w:val="auto"/>
            </w:pPr>
          </w:p>
        </w:tc>
        <w:tc>
          <w:tcPr>
            <w:tcW w:w="1534" w:type="dxa"/>
            <w:noWrap w:val="0"/>
            <w:vAlign w:val="center"/>
          </w:tcPr>
          <w:p w14:paraId="5E8DBDD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重度</w:t>
            </w:r>
          </w:p>
        </w:tc>
        <w:tc>
          <w:tcPr>
            <w:tcW w:w="4822" w:type="dxa"/>
            <w:vMerge w:val="continue"/>
            <w:noWrap w:val="0"/>
            <w:vAlign w:val="center"/>
          </w:tcPr>
          <w:p w14:paraId="741BBDDC">
            <w:pPr>
              <w:keepNext w:val="0"/>
              <w:keepLines w:val="0"/>
              <w:pageBreakBefore w:val="0"/>
              <w:widowControl w:val="0"/>
              <w:kinsoku/>
              <w:wordWrap/>
              <w:overflowPunct/>
              <w:topLinePunct w:val="0"/>
              <w:autoSpaceDE/>
              <w:autoSpaceDN/>
              <w:bidi w:val="0"/>
              <w:adjustRightInd/>
              <w:snapToGrid/>
              <w:spacing w:line="320" w:lineRule="exact"/>
              <w:jc w:val="left"/>
              <w:textAlignment w:val="auto"/>
            </w:pPr>
          </w:p>
        </w:tc>
        <w:tc>
          <w:tcPr>
            <w:tcW w:w="1275" w:type="dxa"/>
            <w:vMerge w:val="continue"/>
            <w:noWrap w:val="0"/>
            <w:vAlign w:val="center"/>
          </w:tcPr>
          <w:p w14:paraId="358AA560">
            <w:pPr>
              <w:keepNext w:val="0"/>
              <w:keepLines w:val="0"/>
              <w:pageBreakBefore w:val="0"/>
              <w:widowControl w:val="0"/>
              <w:kinsoku/>
              <w:wordWrap/>
              <w:overflowPunct/>
              <w:topLinePunct w:val="0"/>
              <w:autoSpaceDE/>
              <w:autoSpaceDN/>
              <w:bidi w:val="0"/>
              <w:adjustRightInd/>
              <w:snapToGrid/>
              <w:spacing w:line="320" w:lineRule="exact"/>
              <w:jc w:val="center"/>
              <w:textAlignment w:val="auto"/>
            </w:pPr>
          </w:p>
        </w:tc>
        <w:tc>
          <w:tcPr>
            <w:tcW w:w="1238" w:type="dxa"/>
            <w:noWrap w:val="0"/>
            <w:vAlign w:val="center"/>
          </w:tcPr>
          <w:p w14:paraId="1CECDA8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方正仿宋_GBK" w:eastAsia="仿宋_GB2312" w:cs="方正仿宋_GBK"/>
                <w:w w:val="90"/>
                <w:sz w:val="28"/>
                <w:szCs w:val="28"/>
                <w:lang w:val="en-US" w:eastAsia="zh-CN"/>
              </w:rPr>
            </w:pPr>
            <w:r>
              <w:rPr>
                <w:rFonts w:hint="eastAsia" w:ascii="仿宋_GB2312" w:hAnsi="方正仿宋_GBK" w:eastAsia="仿宋_GB2312" w:cs="方正仿宋_GBK"/>
                <w:w w:val="90"/>
                <w:sz w:val="28"/>
                <w:szCs w:val="28"/>
                <w:lang w:val="en-US" w:eastAsia="zh-CN"/>
              </w:rPr>
              <w:t>320</w:t>
            </w:r>
          </w:p>
        </w:tc>
        <w:tc>
          <w:tcPr>
            <w:tcW w:w="1147" w:type="dxa"/>
            <w:vMerge w:val="continue"/>
            <w:noWrap w:val="0"/>
            <w:vAlign w:val="center"/>
          </w:tcPr>
          <w:p w14:paraId="05B8E1B3">
            <w:pPr>
              <w:keepNext w:val="0"/>
              <w:keepLines w:val="0"/>
              <w:pageBreakBefore w:val="0"/>
              <w:widowControl w:val="0"/>
              <w:kinsoku/>
              <w:wordWrap/>
              <w:overflowPunct/>
              <w:topLinePunct w:val="0"/>
              <w:autoSpaceDE/>
              <w:autoSpaceDN/>
              <w:bidi w:val="0"/>
              <w:adjustRightInd/>
              <w:snapToGrid/>
              <w:spacing w:line="320" w:lineRule="exact"/>
              <w:jc w:val="left"/>
              <w:textAlignment w:val="auto"/>
            </w:pPr>
          </w:p>
        </w:tc>
        <w:tc>
          <w:tcPr>
            <w:tcW w:w="1928" w:type="dxa"/>
            <w:vMerge w:val="continue"/>
            <w:noWrap w:val="0"/>
            <w:vAlign w:val="center"/>
          </w:tcPr>
          <w:p w14:paraId="0C29ADFB">
            <w:pPr>
              <w:keepNext w:val="0"/>
              <w:keepLines w:val="0"/>
              <w:pageBreakBefore w:val="0"/>
              <w:widowControl w:val="0"/>
              <w:kinsoku/>
              <w:wordWrap/>
              <w:overflowPunct/>
              <w:topLinePunct w:val="0"/>
              <w:autoSpaceDE/>
              <w:autoSpaceDN/>
              <w:bidi w:val="0"/>
              <w:adjustRightInd/>
              <w:snapToGrid/>
              <w:spacing w:line="320" w:lineRule="exact"/>
              <w:jc w:val="left"/>
              <w:textAlignment w:val="auto"/>
            </w:pPr>
          </w:p>
        </w:tc>
      </w:tr>
      <w:tr w14:paraId="27F54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tblHeader/>
          <w:jc w:val="center"/>
        </w:trPr>
        <w:tc>
          <w:tcPr>
            <w:tcW w:w="500" w:type="dxa"/>
            <w:noWrap w:val="0"/>
            <w:vAlign w:val="center"/>
          </w:tcPr>
          <w:p w14:paraId="6A5F910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方正仿宋_GBK" w:eastAsia="仿宋_GB2312" w:cs="方正仿宋_GBK"/>
                <w:w w:val="90"/>
                <w:sz w:val="28"/>
                <w:szCs w:val="36"/>
                <w:lang w:val="en-US" w:eastAsia="zh-CN"/>
              </w:rPr>
            </w:pPr>
            <w:r>
              <w:rPr>
                <w:rFonts w:hint="eastAsia" w:ascii="仿宋_GB2312" w:hAnsi="方正仿宋_GBK" w:eastAsia="仿宋_GB2312" w:cs="方正仿宋_GBK"/>
                <w:w w:val="90"/>
                <w:sz w:val="28"/>
                <w:szCs w:val="36"/>
                <w:lang w:val="en-US" w:eastAsia="zh-CN"/>
              </w:rPr>
              <w:t>12</w:t>
            </w:r>
          </w:p>
        </w:tc>
        <w:tc>
          <w:tcPr>
            <w:tcW w:w="982" w:type="dxa"/>
            <w:vMerge w:val="continue"/>
            <w:noWrap w:val="0"/>
            <w:vAlign w:val="center"/>
          </w:tcPr>
          <w:p w14:paraId="115267A5">
            <w:pPr>
              <w:keepNext w:val="0"/>
              <w:keepLines w:val="0"/>
              <w:pageBreakBefore w:val="0"/>
              <w:widowControl w:val="0"/>
              <w:kinsoku/>
              <w:wordWrap/>
              <w:overflowPunct/>
              <w:topLinePunct w:val="0"/>
              <w:autoSpaceDE/>
              <w:autoSpaceDN/>
              <w:bidi w:val="0"/>
              <w:adjustRightInd/>
              <w:snapToGrid/>
              <w:spacing w:line="320" w:lineRule="exact"/>
              <w:jc w:val="left"/>
              <w:textAlignment w:val="auto"/>
            </w:pPr>
          </w:p>
        </w:tc>
        <w:tc>
          <w:tcPr>
            <w:tcW w:w="2884" w:type="dxa"/>
            <w:gridSpan w:val="2"/>
            <w:noWrap w:val="0"/>
            <w:vAlign w:val="center"/>
          </w:tcPr>
          <w:p w14:paraId="0619948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遗体沐浴更衣</w:t>
            </w:r>
          </w:p>
        </w:tc>
        <w:tc>
          <w:tcPr>
            <w:tcW w:w="4822" w:type="dxa"/>
            <w:noWrap w:val="0"/>
            <w:vAlign w:val="center"/>
          </w:tcPr>
          <w:p w14:paraId="1A0AA688">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遗体沐浴或更衣的人力及材料（不含寿衣）费用。</w:t>
            </w:r>
          </w:p>
        </w:tc>
        <w:tc>
          <w:tcPr>
            <w:tcW w:w="1275" w:type="dxa"/>
            <w:noWrap w:val="0"/>
            <w:vAlign w:val="center"/>
          </w:tcPr>
          <w:p w14:paraId="7746D6F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元</w:t>
            </w:r>
            <w:r>
              <w:rPr>
                <w:rFonts w:hint="eastAsia" w:ascii="仿宋_GB2312" w:hAnsi="方正仿宋_GBK" w:eastAsia="仿宋_GB2312" w:cs="方正仿宋_GBK"/>
                <w:w w:val="90"/>
                <w:sz w:val="28"/>
                <w:szCs w:val="28"/>
                <w:lang w:val="en-US" w:eastAsia="zh-CN"/>
              </w:rPr>
              <w:t>/具</w:t>
            </w:r>
          </w:p>
        </w:tc>
        <w:tc>
          <w:tcPr>
            <w:tcW w:w="1238" w:type="dxa"/>
            <w:noWrap w:val="0"/>
            <w:vAlign w:val="center"/>
          </w:tcPr>
          <w:p w14:paraId="4A40A7D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方正仿宋_GBK" w:eastAsia="仿宋_GB2312" w:cs="方正仿宋_GBK"/>
                <w:w w:val="90"/>
                <w:sz w:val="28"/>
                <w:szCs w:val="28"/>
                <w:lang w:val="en-US" w:eastAsia="zh-CN"/>
              </w:rPr>
            </w:pPr>
            <w:r>
              <w:rPr>
                <w:rFonts w:hint="eastAsia" w:ascii="仿宋_GB2312" w:hAnsi="方正仿宋_GBK" w:eastAsia="仿宋_GB2312" w:cs="方正仿宋_GBK"/>
                <w:w w:val="90"/>
                <w:sz w:val="28"/>
                <w:szCs w:val="28"/>
                <w:lang w:val="en-US" w:eastAsia="zh-CN"/>
              </w:rPr>
              <w:t>710</w:t>
            </w:r>
          </w:p>
        </w:tc>
        <w:tc>
          <w:tcPr>
            <w:tcW w:w="1147" w:type="dxa"/>
            <w:vMerge w:val="continue"/>
            <w:noWrap w:val="0"/>
            <w:vAlign w:val="center"/>
          </w:tcPr>
          <w:p w14:paraId="0F121BA1">
            <w:pPr>
              <w:keepNext w:val="0"/>
              <w:keepLines w:val="0"/>
              <w:pageBreakBefore w:val="0"/>
              <w:widowControl w:val="0"/>
              <w:kinsoku/>
              <w:wordWrap/>
              <w:overflowPunct/>
              <w:topLinePunct w:val="0"/>
              <w:autoSpaceDE/>
              <w:autoSpaceDN/>
              <w:bidi w:val="0"/>
              <w:adjustRightInd/>
              <w:snapToGrid/>
              <w:spacing w:line="320" w:lineRule="exact"/>
              <w:jc w:val="left"/>
              <w:textAlignment w:val="auto"/>
            </w:pPr>
          </w:p>
        </w:tc>
        <w:tc>
          <w:tcPr>
            <w:tcW w:w="1928" w:type="dxa"/>
            <w:noWrap w:val="0"/>
            <w:vAlign w:val="center"/>
          </w:tcPr>
          <w:p w14:paraId="56BA8D03">
            <w:pPr>
              <w:keepNext w:val="0"/>
              <w:keepLines w:val="0"/>
              <w:pageBreakBefore w:val="0"/>
              <w:widowControl w:val="0"/>
              <w:kinsoku/>
              <w:wordWrap/>
              <w:overflowPunct/>
              <w:topLinePunct w:val="0"/>
              <w:autoSpaceDE/>
              <w:autoSpaceDN/>
              <w:bidi w:val="0"/>
              <w:adjustRightInd/>
              <w:snapToGrid/>
              <w:spacing w:line="320" w:lineRule="exact"/>
              <w:jc w:val="left"/>
              <w:textAlignment w:val="auto"/>
            </w:pPr>
          </w:p>
        </w:tc>
      </w:tr>
      <w:tr w14:paraId="5F692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blHeader/>
          <w:jc w:val="center"/>
        </w:trPr>
        <w:tc>
          <w:tcPr>
            <w:tcW w:w="500" w:type="dxa"/>
            <w:vMerge w:val="restart"/>
            <w:noWrap w:val="0"/>
            <w:vAlign w:val="center"/>
          </w:tcPr>
          <w:p w14:paraId="284F8E1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方正仿宋_GBK" w:eastAsia="仿宋_GB2312" w:cs="方正仿宋_GBK"/>
                <w:w w:val="90"/>
                <w:sz w:val="28"/>
                <w:szCs w:val="36"/>
                <w:lang w:val="en-US" w:eastAsia="zh-CN"/>
              </w:rPr>
            </w:pPr>
            <w:r>
              <w:rPr>
                <w:rFonts w:hint="eastAsia" w:ascii="仿宋_GB2312" w:hAnsi="方正仿宋_GBK" w:eastAsia="仿宋_GB2312" w:cs="方正仿宋_GBK"/>
                <w:w w:val="90"/>
                <w:sz w:val="28"/>
                <w:szCs w:val="36"/>
                <w:lang w:val="en-US" w:eastAsia="zh-CN"/>
              </w:rPr>
              <w:t>13</w:t>
            </w:r>
          </w:p>
        </w:tc>
        <w:tc>
          <w:tcPr>
            <w:tcW w:w="982" w:type="dxa"/>
            <w:vMerge w:val="continue"/>
            <w:noWrap w:val="0"/>
            <w:vAlign w:val="center"/>
          </w:tcPr>
          <w:p w14:paraId="0E6D0D6D">
            <w:pPr>
              <w:keepNext w:val="0"/>
              <w:keepLines w:val="0"/>
              <w:pageBreakBefore w:val="0"/>
              <w:widowControl w:val="0"/>
              <w:kinsoku/>
              <w:wordWrap/>
              <w:overflowPunct/>
              <w:topLinePunct w:val="0"/>
              <w:autoSpaceDE/>
              <w:autoSpaceDN/>
              <w:bidi w:val="0"/>
              <w:adjustRightInd/>
              <w:snapToGrid/>
              <w:spacing w:line="320" w:lineRule="exact"/>
              <w:jc w:val="left"/>
              <w:textAlignment w:val="auto"/>
            </w:pPr>
          </w:p>
        </w:tc>
        <w:tc>
          <w:tcPr>
            <w:tcW w:w="1350" w:type="dxa"/>
            <w:vMerge w:val="restart"/>
            <w:noWrap w:val="0"/>
            <w:vAlign w:val="center"/>
          </w:tcPr>
          <w:p w14:paraId="63FF8BA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特殊遗体收殓</w:t>
            </w:r>
          </w:p>
        </w:tc>
        <w:tc>
          <w:tcPr>
            <w:tcW w:w="1534" w:type="dxa"/>
            <w:noWrap w:val="0"/>
            <w:vAlign w:val="center"/>
          </w:tcPr>
          <w:p w14:paraId="267B534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轻度</w:t>
            </w:r>
          </w:p>
        </w:tc>
        <w:tc>
          <w:tcPr>
            <w:tcW w:w="4822" w:type="dxa"/>
            <w:vMerge w:val="restart"/>
            <w:noWrap w:val="0"/>
            <w:vAlign w:val="center"/>
          </w:tcPr>
          <w:p w14:paraId="450C5D05">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指对车祸、坠楼、传染病等原因造成破损或腐烂程度较高的特殊遗体的收殓费用。</w:t>
            </w:r>
          </w:p>
        </w:tc>
        <w:tc>
          <w:tcPr>
            <w:tcW w:w="1275" w:type="dxa"/>
            <w:vMerge w:val="restart"/>
            <w:noWrap w:val="0"/>
            <w:vAlign w:val="center"/>
          </w:tcPr>
          <w:p w14:paraId="006CF31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元</w:t>
            </w:r>
            <w:r>
              <w:rPr>
                <w:rFonts w:hint="eastAsia" w:ascii="仿宋_GB2312" w:hAnsi="方正仿宋_GBK" w:eastAsia="仿宋_GB2312" w:cs="方正仿宋_GBK"/>
                <w:w w:val="90"/>
                <w:sz w:val="28"/>
                <w:szCs w:val="28"/>
                <w:lang w:val="en-US" w:eastAsia="zh-CN"/>
              </w:rPr>
              <w:t>/具</w:t>
            </w:r>
          </w:p>
        </w:tc>
        <w:tc>
          <w:tcPr>
            <w:tcW w:w="1238" w:type="dxa"/>
            <w:noWrap w:val="0"/>
            <w:vAlign w:val="center"/>
          </w:tcPr>
          <w:p w14:paraId="22C0D3B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方正仿宋_GBK" w:eastAsia="仿宋_GB2312" w:cs="方正仿宋_GBK"/>
                <w:w w:val="90"/>
                <w:sz w:val="28"/>
                <w:szCs w:val="28"/>
                <w:lang w:val="en-US" w:eastAsia="zh-CN"/>
              </w:rPr>
            </w:pPr>
            <w:r>
              <w:rPr>
                <w:rFonts w:hint="eastAsia" w:ascii="仿宋_GB2312" w:hAnsi="方正仿宋_GBK" w:eastAsia="仿宋_GB2312" w:cs="方正仿宋_GBK"/>
                <w:w w:val="90"/>
                <w:sz w:val="28"/>
                <w:szCs w:val="28"/>
                <w:lang w:val="en-US" w:eastAsia="zh-CN"/>
              </w:rPr>
              <w:t>267</w:t>
            </w:r>
          </w:p>
        </w:tc>
        <w:tc>
          <w:tcPr>
            <w:tcW w:w="1147" w:type="dxa"/>
            <w:vMerge w:val="continue"/>
            <w:noWrap w:val="0"/>
            <w:vAlign w:val="center"/>
          </w:tcPr>
          <w:p w14:paraId="7048D414">
            <w:pPr>
              <w:keepNext w:val="0"/>
              <w:keepLines w:val="0"/>
              <w:pageBreakBefore w:val="0"/>
              <w:widowControl w:val="0"/>
              <w:kinsoku/>
              <w:wordWrap/>
              <w:overflowPunct/>
              <w:topLinePunct w:val="0"/>
              <w:autoSpaceDE/>
              <w:autoSpaceDN/>
              <w:bidi w:val="0"/>
              <w:adjustRightInd/>
              <w:snapToGrid/>
              <w:spacing w:line="320" w:lineRule="exact"/>
              <w:jc w:val="left"/>
              <w:textAlignment w:val="auto"/>
            </w:pPr>
          </w:p>
        </w:tc>
        <w:tc>
          <w:tcPr>
            <w:tcW w:w="1928" w:type="dxa"/>
            <w:vMerge w:val="restart"/>
            <w:noWrap w:val="0"/>
            <w:vAlign w:val="center"/>
          </w:tcPr>
          <w:p w14:paraId="17D3980F">
            <w:pPr>
              <w:keepNext w:val="0"/>
              <w:keepLines w:val="0"/>
              <w:pageBreakBefore w:val="0"/>
              <w:widowControl w:val="0"/>
              <w:kinsoku/>
              <w:wordWrap/>
              <w:overflowPunct/>
              <w:topLinePunct w:val="0"/>
              <w:autoSpaceDE/>
              <w:autoSpaceDN/>
              <w:bidi w:val="0"/>
              <w:adjustRightInd/>
              <w:snapToGrid/>
              <w:spacing w:line="320" w:lineRule="exact"/>
              <w:jc w:val="left"/>
              <w:textAlignment w:val="auto"/>
            </w:pPr>
          </w:p>
        </w:tc>
      </w:tr>
      <w:tr w14:paraId="275BC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blHeader/>
          <w:jc w:val="center"/>
        </w:trPr>
        <w:tc>
          <w:tcPr>
            <w:tcW w:w="500" w:type="dxa"/>
            <w:vMerge w:val="continue"/>
            <w:noWrap w:val="0"/>
            <w:vAlign w:val="center"/>
          </w:tcPr>
          <w:p w14:paraId="32176F6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36"/>
                <w:lang w:val="en-US" w:eastAsia="zh-CN"/>
              </w:rPr>
            </w:pPr>
          </w:p>
        </w:tc>
        <w:tc>
          <w:tcPr>
            <w:tcW w:w="982" w:type="dxa"/>
            <w:vMerge w:val="continue"/>
            <w:noWrap w:val="0"/>
            <w:vAlign w:val="center"/>
          </w:tcPr>
          <w:p w14:paraId="3CE94187">
            <w:pPr>
              <w:keepNext w:val="0"/>
              <w:keepLines w:val="0"/>
              <w:pageBreakBefore w:val="0"/>
              <w:widowControl w:val="0"/>
              <w:kinsoku/>
              <w:wordWrap/>
              <w:overflowPunct/>
              <w:topLinePunct w:val="0"/>
              <w:autoSpaceDE/>
              <w:autoSpaceDN/>
              <w:bidi w:val="0"/>
              <w:adjustRightInd/>
              <w:snapToGrid/>
              <w:spacing w:line="320" w:lineRule="exact"/>
              <w:jc w:val="left"/>
              <w:textAlignment w:val="auto"/>
            </w:pPr>
          </w:p>
        </w:tc>
        <w:tc>
          <w:tcPr>
            <w:tcW w:w="1350" w:type="dxa"/>
            <w:vMerge w:val="continue"/>
            <w:noWrap w:val="0"/>
            <w:vAlign w:val="center"/>
          </w:tcPr>
          <w:p w14:paraId="0E499E09">
            <w:pPr>
              <w:keepNext w:val="0"/>
              <w:keepLines w:val="0"/>
              <w:pageBreakBefore w:val="0"/>
              <w:widowControl w:val="0"/>
              <w:kinsoku/>
              <w:wordWrap/>
              <w:overflowPunct/>
              <w:topLinePunct w:val="0"/>
              <w:autoSpaceDE/>
              <w:autoSpaceDN/>
              <w:bidi w:val="0"/>
              <w:adjustRightInd/>
              <w:snapToGrid/>
              <w:spacing w:line="320" w:lineRule="exact"/>
              <w:jc w:val="center"/>
              <w:textAlignment w:val="auto"/>
            </w:pPr>
          </w:p>
        </w:tc>
        <w:tc>
          <w:tcPr>
            <w:tcW w:w="1534" w:type="dxa"/>
            <w:noWrap w:val="0"/>
            <w:vAlign w:val="center"/>
          </w:tcPr>
          <w:p w14:paraId="54D02FA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中度</w:t>
            </w:r>
          </w:p>
        </w:tc>
        <w:tc>
          <w:tcPr>
            <w:tcW w:w="4822" w:type="dxa"/>
            <w:vMerge w:val="continue"/>
            <w:noWrap w:val="0"/>
            <w:vAlign w:val="center"/>
          </w:tcPr>
          <w:p w14:paraId="7FE3250E">
            <w:pPr>
              <w:keepNext w:val="0"/>
              <w:keepLines w:val="0"/>
              <w:pageBreakBefore w:val="0"/>
              <w:widowControl w:val="0"/>
              <w:kinsoku/>
              <w:wordWrap/>
              <w:overflowPunct/>
              <w:topLinePunct w:val="0"/>
              <w:autoSpaceDE/>
              <w:autoSpaceDN/>
              <w:bidi w:val="0"/>
              <w:adjustRightInd/>
              <w:snapToGrid/>
              <w:spacing w:line="320" w:lineRule="exact"/>
              <w:jc w:val="left"/>
              <w:textAlignment w:val="auto"/>
            </w:pPr>
          </w:p>
        </w:tc>
        <w:tc>
          <w:tcPr>
            <w:tcW w:w="1275" w:type="dxa"/>
            <w:vMerge w:val="continue"/>
            <w:noWrap w:val="0"/>
            <w:vAlign w:val="center"/>
          </w:tcPr>
          <w:p w14:paraId="4B92AC2C">
            <w:pPr>
              <w:keepNext w:val="0"/>
              <w:keepLines w:val="0"/>
              <w:pageBreakBefore w:val="0"/>
              <w:widowControl w:val="0"/>
              <w:kinsoku/>
              <w:wordWrap/>
              <w:overflowPunct/>
              <w:topLinePunct w:val="0"/>
              <w:autoSpaceDE/>
              <w:autoSpaceDN/>
              <w:bidi w:val="0"/>
              <w:adjustRightInd/>
              <w:snapToGrid/>
              <w:spacing w:line="320" w:lineRule="exact"/>
              <w:jc w:val="center"/>
              <w:textAlignment w:val="auto"/>
            </w:pPr>
          </w:p>
        </w:tc>
        <w:tc>
          <w:tcPr>
            <w:tcW w:w="1238" w:type="dxa"/>
            <w:noWrap w:val="0"/>
            <w:vAlign w:val="center"/>
          </w:tcPr>
          <w:p w14:paraId="4B40B31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方正仿宋_GBK" w:eastAsia="仿宋_GB2312" w:cs="方正仿宋_GBK"/>
                <w:w w:val="90"/>
                <w:sz w:val="28"/>
                <w:szCs w:val="28"/>
                <w:lang w:val="en-US" w:eastAsia="zh-CN"/>
              </w:rPr>
            </w:pPr>
            <w:r>
              <w:rPr>
                <w:rFonts w:hint="eastAsia" w:ascii="仿宋_GB2312" w:hAnsi="方正仿宋_GBK" w:eastAsia="仿宋_GB2312" w:cs="方正仿宋_GBK"/>
                <w:w w:val="90"/>
                <w:sz w:val="28"/>
                <w:szCs w:val="28"/>
                <w:lang w:val="en-US" w:eastAsia="zh-CN"/>
              </w:rPr>
              <w:t>317</w:t>
            </w:r>
          </w:p>
        </w:tc>
        <w:tc>
          <w:tcPr>
            <w:tcW w:w="1147" w:type="dxa"/>
            <w:vMerge w:val="continue"/>
            <w:noWrap w:val="0"/>
            <w:vAlign w:val="center"/>
          </w:tcPr>
          <w:p w14:paraId="7B04FA67">
            <w:pPr>
              <w:keepNext w:val="0"/>
              <w:keepLines w:val="0"/>
              <w:pageBreakBefore w:val="0"/>
              <w:widowControl w:val="0"/>
              <w:kinsoku/>
              <w:wordWrap/>
              <w:overflowPunct/>
              <w:topLinePunct w:val="0"/>
              <w:autoSpaceDE/>
              <w:autoSpaceDN/>
              <w:bidi w:val="0"/>
              <w:adjustRightInd/>
              <w:snapToGrid/>
              <w:spacing w:line="320" w:lineRule="exact"/>
              <w:jc w:val="left"/>
              <w:textAlignment w:val="auto"/>
            </w:pPr>
          </w:p>
        </w:tc>
        <w:tc>
          <w:tcPr>
            <w:tcW w:w="1928" w:type="dxa"/>
            <w:vMerge w:val="continue"/>
            <w:noWrap w:val="0"/>
            <w:vAlign w:val="center"/>
          </w:tcPr>
          <w:p w14:paraId="30221870">
            <w:pPr>
              <w:keepNext w:val="0"/>
              <w:keepLines w:val="0"/>
              <w:pageBreakBefore w:val="0"/>
              <w:widowControl w:val="0"/>
              <w:kinsoku/>
              <w:wordWrap/>
              <w:overflowPunct/>
              <w:topLinePunct w:val="0"/>
              <w:autoSpaceDE/>
              <w:autoSpaceDN/>
              <w:bidi w:val="0"/>
              <w:adjustRightInd/>
              <w:snapToGrid/>
              <w:spacing w:line="320" w:lineRule="exact"/>
              <w:jc w:val="left"/>
              <w:textAlignment w:val="auto"/>
            </w:pPr>
          </w:p>
        </w:tc>
      </w:tr>
      <w:tr w14:paraId="14200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500" w:type="dxa"/>
            <w:vMerge w:val="continue"/>
            <w:noWrap w:val="0"/>
            <w:vAlign w:val="center"/>
          </w:tcPr>
          <w:p w14:paraId="3B783E1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36"/>
                <w:lang w:val="en-US" w:eastAsia="zh-CN"/>
              </w:rPr>
            </w:pPr>
          </w:p>
        </w:tc>
        <w:tc>
          <w:tcPr>
            <w:tcW w:w="982" w:type="dxa"/>
            <w:vMerge w:val="continue"/>
            <w:noWrap w:val="0"/>
            <w:vAlign w:val="center"/>
          </w:tcPr>
          <w:p w14:paraId="2BC7925E">
            <w:pPr>
              <w:keepNext w:val="0"/>
              <w:keepLines w:val="0"/>
              <w:pageBreakBefore w:val="0"/>
              <w:widowControl w:val="0"/>
              <w:kinsoku/>
              <w:wordWrap/>
              <w:overflowPunct/>
              <w:topLinePunct w:val="0"/>
              <w:autoSpaceDE/>
              <w:autoSpaceDN/>
              <w:bidi w:val="0"/>
              <w:adjustRightInd/>
              <w:snapToGrid/>
              <w:spacing w:line="320" w:lineRule="exact"/>
              <w:jc w:val="left"/>
              <w:textAlignment w:val="auto"/>
            </w:pPr>
          </w:p>
        </w:tc>
        <w:tc>
          <w:tcPr>
            <w:tcW w:w="1350" w:type="dxa"/>
            <w:vMerge w:val="continue"/>
            <w:noWrap w:val="0"/>
            <w:vAlign w:val="center"/>
          </w:tcPr>
          <w:p w14:paraId="13C8163C">
            <w:pPr>
              <w:keepNext w:val="0"/>
              <w:keepLines w:val="0"/>
              <w:pageBreakBefore w:val="0"/>
              <w:widowControl w:val="0"/>
              <w:kinsoku/>
              <w:wordWrap/>
              <w:overflowPunct/>
              <w:topLinePunct w:val="0"/>
              <w:autoSpaceDE/>
              <w:autoSpaceDN/>
              <w:bidi w:val="0"/>
              <w:adjustRightInd/>
              <w:snapToGrid/>
              <w:spacing w:line="320" w:lineRule="exact"/>
              <w:jc w:val="center"/>
              <w:textAlignment w:val="auto"/>
            </w:pPr>
          </w:p>
        </w:tc>
        <w:tc>
          <w:tcPr>
            <w:tcW w:w="1534" w:type="dxa"/>
            <w:noWrap w:val="0"/>
            <w:vAlign w:val="center"/>
          </w:tcPr>
          <w:p w14:paraId="7B7E82D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重度</w:t>
            </w:r>
          </w:p>
        </w:tc>
        <w:tc>
          <w:tcPr>
            <w:tcW w:w="4822" w:type="dxa"/>
            <w:vMerge w:val="continue"/>
            <w:noWrap w:val="0"/>
            <w:vAlign w:val="center"/>
          </w:tcPr>
          <w:p w14:paraId="3878907D">
            <w:pPr>
              <w:keepNext w:val="0"/>
              <w:keepLines w:val="0"/>
              <w:pageBreakBefore w:val="0"/>
              <w:widowControl w:val="0"/>
              <w:kinsoku/>
              <w:wordWrap/>
              <w:overflowPunct/>
              <w:topLinePunct w:val="0"/>
              <w:autoSpaceDE/>
              <w:autoSpaceDN/>
              <w:bidi w:val="0"/>
              <w:adjustRightInd/>
              <w:snapToGrid/>
              <w:spacing w:line="320" w:lineRule="exact"/>
              <w:jc w:val="left"/>
              <w:textAlignment w:val="auto"/>
            </w:pPr>
          </w:p>
        </w:tc>
        <w:tc>
          <w:tcPr>
            <w:tcW w:w="1275" w:type="dxa"/>
            <w:vMerge w:val="continue"/>
            <w:noWrap w:val="0"/>
            <w:vAlign w:val="center"/>
          </w:tcPr>
          <w:p w14:paraId="23AE0F84">
            <w:pPr>
              <w:keepNext w:val="0"/>
              <w:keepLines w:val="0"/>
              <w:pageBreakBefore w:val="0"/>
              <w:widowControl w:val="0"/>
              <w:kinsoku/>
              <w:wordWrap/>
              <w:overflowPunct/>
              <w:topLinePunct w:val="0"/>
              <w:autoSpaceDE/>
              <w:autoSpaceDN/>
              <w:bidi w:val="0"/>
              <w:adjustRightInd/>
              <w:snapToGrid/>
              <w:spacing w:line="320" w:lineRule="exact"/>
              <w:jc w:val="center"/>
              <w:textAlignment w:val="auto"/>
            </w:pPr>
          </w:p>
        </w:tc>
        <w:tc>
          <w:tcPr>
            <w:tcW w:w="1238" w:type="dxa"/>
            <w:noWrap w:val="0"/>
            <w:vAlign w:val="center"/>
          </w:tcPr>
          <w:p w14:paraId="060A753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方正仿宋_GBK" w:eastAsia="仿宋_GB2312" w:cs="方正仿宋_GBK"/>
                <w:w w:val="90"/>
                <w:sz w:val="28"/>
                <w:szCs w:val="28"/>
                <w:lang w:val="en-US" w:eastAsia="zh-CN"/>
              </w:rPr>
            </w:pPr>
            <w:r>
              <w:rPr>
                <w:rFonts w:hint="eastAsia" w:ascii="仿宋_GB2312" w:hAnsi="方正仿宋_GBK" w:eastAsia="仿宋_GB2312" w:cs="方正仿宋_GBK"/>
                <w:w w:val="90"/>
                <w:sz w:val="28"/>
                <w:szCs w:val="28"/>
                <w:lang w:val="en-US" w:eastAsia="zh-CN"/>
              </w:rPr>
              <w:t>382</w:t>
            </w:r>
          </w:p>
        </w:tc>
        <w:tc>
          <w:tcPr>
            <w:tcW w:w="1147" w:type="dxa"/>
            <w:vMerge w:val="continue"/>
            <w:noWrap w:val="0"/>
            <w:vAlign w:val="center"/>
          </w:tcPr>
          <w:p w14:paraId="66A595FB">
            <w:pPr>
              <w:keepNext w:val="0"/>
              <w:keepLines w:val="0"/>
              <w:pageBreakBefore w:val="0"/>
              <w:widowControl w:val="0"/>
              <w:kinsoku/>
              <w:wordWrap/>
              <w:overflowPunct/>
              <w:topLinePunct w:val="0"/>
              <w:autoSpaceDE/>
              <w:autoSpaceDN/>
              <w:bidi w:val="0"/>
              <w:adjustRightInd/>
              <w:snapToGrid/>
              <w:spacing w:line="320" w:lineRule="exact"/>
              <w:jc w:val="left"/>
              <w:textAlignment w:val="auto"/>
            </w:pPr>
          </w:p>
        </w:tc>
        <w:tc>
          <w:tcPr>
            <w:tcW w:w="1928" w:type="dxa"/>
            <w:vMerge w:val="continue"/>
            <w:noWrap w:val="0"/>
            <w:vAlign w:val="center"/>
          </w:tcPr>
          <w:p w14:paraId="731CE6D2">
            <w:pPr>
              <w:keepNext w:val="0"/>
              <w:keepLines w:val="0"/>
              <w:pageBreakBefore w:val="0"/>
              <w:widowControl w:val="0"/>
              <w:kinsoku/>
              <w:wordWrap/>
              <w:overflowPunct/>
              <w:topLinePunct w:val="0"/>
              <w:autoSpaceDE/>
              <w:autoSpaceDN/>
              <w:bidi w:val="0"/>
              <w:adjustRightInd/>
              <w:snapToGrid/>
              <w:spacing w:line="320" w:lineRule="exact"/>
              <w:jc w:val="left"/>
              <w:textAlignment w:val="auto"/>
            </w:pPr>
          </w:p>
        </w:tc>
      </w:tr>
      <w:tr w14:paraId="77E3E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7" w:hRule="atLeast"/>
          <w:tblHeader/>
          <w:jc w:val="center"/>
        </w:trPr>
        <w:tc>
          <w:tcPr>
            <w:tcW w:w="500" w:type="dxa"/>
            <w:noWrap w:val="0"/>
            <w:vAlign w:val="center"/>
          </w:tcPr>
          <w:p w14:paraId="4F9BC1D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方正仿宋_GBK" w:eastAsia="仿宋_GB2312" w:cs="方正仿宋_GBK"/>
                <w:w w:val="90"/>
                <w:sz w:val="28"/>
                <w:szCs w:val="36"/>
                <w:lang w:val="en-US" w:eastAsia="zh-CN"/>
              </w:rPr>
            </w:pPr>
            <w:r>
              <w:rPr>
                <w:rFonts w:hint="eastAsia" w:ascii="仿宋_GB2312" w:hAnsi="方正仿宋_GBK" w:eastAsia="仿宋_GB2312" w:cs="方正仿宋_GBK"/>
                <w:w w:val="90"/>
                <w:sz w:val="28"/>
                <w:szCs w:val="36"/>
                <w:lang w:val="en-US" w:eastAsia="zh-CN"/>
              </w:rPr>
              <w:t>14</w:t>
            </w:r>
          </w:p>
        </w:tc>
        <w:tc>
          <w:tcPr>
            <w:tcW w:w="982" w:type="dxa"/>
            <w:vMerge w:val="continue"/>
            <w:noWrap w:val="0"/>
            <w:vAlign w:val="center"/>
          </w:tcPr>
          <w:p w14:paraId="746F6968">
            <w:pPr>
              <w:keepNext w:val="0"/>
              <w:keepLines w:val="0"/>
              <w:pageBreakBefore w:val="0"/>
              <w:widowControl w:val="0"/>
              <w:kinsoku/>
              <w:wordWrap/>
              <w:overflowPunct/>
              <w:topLinePunct w:val="0"/>
              <w:autoSpaceDE/>
              <w:autoSpaceDN/>
              <w:bidi w:val="0"/>
              <w:adjustRightInd/>
              <w:snapToGrid/>
              <w:spacing w:line="320" w:lineRule="exact"/>
              <w:jc w:val="left"/>
              <w:textAlignment w:val="auto"/>
            </w:pPr>
          </w:p>
        </w:tc>
        <w:tc>
          <w:tcPr>
            <w:tcW w:w="2884" w:type="dxa"/>
            <w:gridSpan w:val="2"/>
            <w:noWrap w:val="0"/>
            <w:vAlign w:val="center"/>
          </w:tcPr>
          <w:p w14:paraId="5460856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跨区域遗体接运</w:t>
            </w:r>
          </w:p>
        </w:tc>
        <w:tc>
          <w:tcPr>
            <w:tcW w:w="4822" w:type="dxa"/>
            <w:noWrap w:val="0"/>
            <w:vAlign w:val="center"/>
          </w:tcPr>
          <w:p w14:paraId="15F5BA78">
            <w:pPr>
              <w:keepNext w:val="0"/>
              <w:keepLines w:val="0"/>
              <w:pageBreakBefore w:val="0"/>
              <w:widowControl w:val="0"/>
              <w:kinsoku/>
              <w:wordWrap/>
              <w:overflowPunct/>
              <w:topLinePunct w:val="0"/>
              <w:autoSpaceDE/>
              <w:autoSpaceDN/>
              <w:bidi w:val="0"/>
              <w:adjustRightInd/>
              <w:snapToGrid/>
              <w:spacing w:line="320" w:lineRule="exact"/>
              <w:jc w:val="left"/>
              <w:textAlignment w:val="auto"/>
            </w:pPr>
            <w:r>
              <w:rPr>
                <w:rFonts w:hint="eastAsia" w:ascii="仿宋_GB2312" w:hAnsi="方正仿宋_GBK" w:eastAsia="仿宋_GB2312" w:cs="方正仿宋_GBK"/>
                <w:w w:val="90"/>
                <w:sz w:val="28"/>
                <w:szCs w:val="28"/>
                <w:lang w:eastAsia="zh-CN"/>
              </w:rPr>
              <w:t>殡仪馆车辆接运服务区域外遗体费用，含正常遗体收殓、运输工具、人力搬运、消毒以及遗体垫盖布或裹尸袋等费用。</w:t>
            </w:r>
          </w:p>
        </w:tc>
        <w:tc>
          <w:tcPr>
            <w:tcW w:w="1275" w:type="dxa"/>
            <w:noWrap w:val="0"/>
            <w:vAlign w:val="center"/>
          </w:tcPr>
          <w:p w14:paraId="44F3D274">
            <w:pPr>
              <w:keepNext w:val="0"/>
              <w:keepLines w:val="0"/>
              <w:pageBreakBefore w:val="0"/>
              <w:widowControl w:val="0"/>
              <w:kinsoku/>
              <w:wordWrap/>
              <w:overflowPunct/>
              <w:topLinePunct w:val="0"/>
              <w:autoSpaceDE/>
              <w:autoSpaceDN/>
              <w:bidi w:val="0"/>
              <w:adjustRightInd/>
              <w:snapToGrid/>
              <w:spacing w:line="320" w:lineRule="exact"/>
              <w:jc w:val="center"/>
              <w:textAlignment w:val="auto"/>
            </w:pPr>
            <w:r>
              <w:rPr>
                <w:rFonts w:hint="eastAsia" w:ascii="仿宋_GB2312" w:hAnsi="方正仿宋_GBK" w:eastAsia="仿宋_GB2312" w:cs="方正仿宋_GBK"/>
                <w:w w:val="90"/>
                <w:sz w:val="28"/>
                <w:szCs w:val="28"/>
                <w:lang w:val="en-US" w:eastAsia="zh-CN"/>
              </w:rPr>
              <w:t>元/公里</w:t>
            </w:r>
          </w:p>
        </w:tc>
        <w:tc>
          <w:tcPr>
            <w:tcW w:w="1238" w:type="dxa"/>
            <w:noWrap w:val="0"/>
            <w:vAlign w:val="center"/>
          </w:tcPr>
          <w:p w14:paraId="3E1BB80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val="en-US" w:eastAsia="zh-CN"/>
              </w:rPr>
            </w:pPr>
            <w:r>
              <w:rPr>
                <w:rFonts w:hint="eastAsia" w:ascii="仿宋_GB2312" w:hAnsi="方正仿宋_GBK" w:eastAsia="仿宋_GB2312" w:cs="方正仿宋_GBK"/>
                <w:w w:val="90"/>
                <w:sz w:val="28"/>
                <w:szCs w:val="28"/>
                <w:lang w:val="en-US" w:eastAsia="zh-CN"/>
              </w:rPr>
              <w:t>4（</w:t>
            </w:r>
            <w:r>
              <w:rPr>
                <w:rFonts w:hint="eastAsia" w:ascii="仿宋_GB2312" w:hAnsi="方正仿宋_GBK" w:cs="方正仿宋_GBK"/>
                <w:w w:val="90"/>
                <w:sz w:val="28"/>
                <w:szCs w:val="28"/>
                <w:lang w:val="en-US" w:eastAsia="zh-CN"/>
              </w:rPr>
              <w:t>只收取</w:t>
            </w:r>
            <w:r>
              <w:rPr>
                <w:rFonts w:hint="eastAsia" w:ascii="仿宋_GB2312" w:hAnsi="方正仿宋_GBK" w:eastAsia="仿宋_GB2312" w:cs="方正仿宋_GBK"/>
                <w:w w:val="90"/>
                <w:sz w:val="28"/>
                <w:szCs w:val="28"/>
                <w:lang w:val="en-US" w:eastAsia="zh-CN"/>
              </w:rPr>
              <w:t>单程</w:t>
            </w:r>
            <w:r>
              <w:rPr>
                <w:rFonts w:hint="eastAsia" w:ascii="仿宋_GB2312" w:hAnsi="方正仿宋_GBK" w:cs="方正仿宋_GBK"/>
                <w:w w:val="90"/>
                <w:sz w:val="28"/>
                <w:szCs w:val="28"/>
                <w:lang w:val="en-US" w:eastAsia="zh-CN"/>
              </w:rPr>
              <w:t>费用</w:t>
            </w:r>
            <w:r>
              <w:rPr>
                <w:rFonts w:hint="eastAsia" w:ascii="仿宋_GB2312" w:hAnsi="方正仿宋_GBK" w:eastAsia="仿宋_GB2312" w:cs="方正仿宋_GBK"/>
                <w:w w:val="90"/>
                <w:sz w:val="28"/>
                <w:szCs w:val="28"/>
                <w:lang w:val="en-US" w:eastAsia="zh-CN"/>
              </w:rPr>
              <w:t>，不含路桥费）</w:t>
            </w:r>
          </w:p>
        </w:tc>
        <w:tc>
          <w:tcPr>
            <w:tcW w:w="1147" w:type="dxa"/>
            <w:vMerge w:val="continue"/>
            <w:noWrap w:val="0"/>
            <w:vAlign w:val="center"/>
          </w:tcPr>
          <w:p w14:paraId="418C31B5">
            <w:pPr>
              <w:keepNext w:val="0"/>
              <w:keepLines w:val="0"/>
              <w:pageBreakBefore w:val="0"/>
              <w:widowControl w:val="0"/>
              <w:kinsoku/>
              <w:wordWrap/>
              <w:overflowPunct/>
              <w:topLinePunct w:val="0"/>
              <w:autoSpaceDE/>
              <w:autoSpaceDN/>
              <w:bidi w:val="0"/>
              <w:adjustRightInd/>
              <w:snapToGrid/>
              <w:spacing w:line="320" w:lineRule="exact"/>
              <w:jc w:val="left"/>
              <w:textAlignment w:val="auto"/>
            </w:pPr>
          </w:p>
        </w:tc>
        <w:tc>
          <w:tcPr>
            <w:tcW w:w="1928" w:type="dxa"/>
            <w:noWrap w:val="0"/>
            <w:vAlign w:val="center"/>
          </w:tcPr>
          <w:p w14:paraId="29F5258E">
            <w:pPr>
              <w:keepNext w:val="0"/>
              <w:keepLines w:val="0"/>
              <w:pageBreakBefore w:val="0"/>
              <w:widowControl w:val="0"/>
              <w:kinsoku/>
              <w:wordWrap/>
              <w:overflowPunct/>
              <w:topLinePunct w:val="0"/>
              <w:autoSpaceDE/>
              <w:autoSpaceDN/>
              <w:bidi w:val="0"/>
              <w:adjustRightInd/>
              <w:snapToGrid/>
              <w:spacing w:line="320" w:lineRule="exact"/>
              <w:jc w:val="left"/>
              <w:textAlignment w:val="auto"/>
            </w:pPr>
            <w:r>
              <w:rPr>
                <w:rFonts w:hint="eastAsia" w:ascii="仿宋_GB2312" w:hAnsi="方正仿宋_GBK" w:eastAsia="仿宋_GB2312" w:cs="方正仿宋_GBK"/>
                <w:w w:val="90"/>
                <w:sz w:val="28"/>
                <w:szCs w:val="28"/>
                <w:lang w:val="en-US" w:eastAsia="zh-CN"/>
              </w:rPr>
              <w:t>超过正常遗体接送范围以外的按里程计算</w:t>
            </w:r>
          </w:p>
        </w:tc>
      </w:tr>
      <w:tr w14:paraId="0D857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500" w:type="dxa"/>
            <w:noWrap w:val="0"/>
            <w:vAlign w:val="center"/>
          </w:tcPr>
          <w:p w14:paraId="1BC265B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w w:val="90"/>
                <w:kern w:val="2"/>
                <w:sz w:val="40"/>
                <w:szCs w:val="48"/>
                <w:lang w:val="en-US" w:eastAsia="zh-CN" w:bidi="ar-SA"/>
              </w:rPr>
            </w:pPr>
            <w:r>
              <w:rPr>
                <w:rFonts w:hint="eastAsia" w:ascii="方正黑体_GBK" w:hAnsi="方正黑体_GBK" w:eastAsia="方正黑体_GBK" w:cs="方正黑体_GBK"/>
                <w:w w:val="90"/>
                <w:sz w:val="28"/>
                <w:szCs w:val="36"/>
              </w:rPr>
              <w:t>序号</w:t>
            </w:r>
          </w:p>
        </w:tc>
        <w:tc>
          <w:tcPr>
            <w:tcW w:w="982" w:type="dxa"/>
            <w:noWrap w:val="0"/>
            <w:vAlign w:val="center"/>
          </w:tcPr>
          <w:p w14:paraId="0A6073C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w w:val="90"/>
                <w:kern w:val="2"/>
                <w:sz w:val="28"/>
                <w:szCs w:val="36"/>
                <w:lang w:val="en-US" w:eastAsia="zh-CN" w:bidi="ar-SA"/>
              </w:rPr>
            </w:pPr>
            <w:r>
              <w:rPr>
                <w:rFonts w:hint="eastAsia" w:ascii="方正黑体_GBK" w:hAnsi="方正黑体_GBK" w:eastAsia="方正黑体_GBK" w:cs="方正黑体_GBK"/>
                <w:w w:val="90"/>
                <w:sz w:val="28"/>
                <w:szCs w:val="36"/>
              </w:rPr>
              <w:t>价格管理类型</w:t>
            </w:r>
          </w:p>
        </w:tc>
        <w:tc>
          <w:tcPr>
            <w:tcW w:w="2884" w:type="dxa"/>
            <w:gridSpan w:val="2"/>
            <w:noWrap w:val="0"/>
            <w:vAlign w:val="center"/>
          </w:tcPr>
          <w:p w14:paraId="53C4917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w w:val="90"/>
                <w:kern w:val="2"/>
                <w:sz w:val="28"/>
                <w:szCs w:val="36"/>
                <w:lang w:val="en-US" w:eastAsia="zh-CN" w:bidi="ar-SA"/>
              </w:rPr>
            </w:pPr>
            <w:r>
              <w:rPr>
                <w:rFonts w:hint="eastAsia" w:ascii="方正黑体_GBK" w:hAnsi="方正黑体_GBK" w:eastAsia="方正黑体_GBK" w:cs="方正黑体_GBK"/>
                <w:w w:val="90"/>
                <w:sz w:val="28"/>
                <w:szCs w:val="36"/>
              </w:rPr>
              <w:t>服务项目</w:t>
            </w:r>
          </w:p>
        </w:tc>
        <w:tc>
          <w:tcPr>
            <w:tcW w:w="4822" w:type="dxa"/>
            <w:noWrap w:val="0"/>
            <w:vAlign w:val="center"/>
          </w:tcPr>
          <w:p w14:paraId="3F3F1EF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w w:val="90"/>
                <w:kern w:val="2"/>
                <w:sz w:val="28"/>
                <w:szCs w:val="36"/>
                <w:lang w:val="en-US" w:eastAsia="zh-CN" w:bidi="ar-SA"/>
              </w:rPr>
            </w:pPr>
            <w:r>
              <w:rPr>
                <w:rFonts w:hint="eastAsia" w:ascii="方正黑体_GBK" w:hAnsi="方正黑体_GBK" w:eastAsia="方正黑体_GBK" w:cs="方正黑体_GBK"/>
                <w:w w:val="90"/>
                <w:sz w:val="28"/>
                <w:szCs w:val="36"/>
              </w:rPr>
              <w:t>服务内容</w:t>
            </w:r>
          </w:p>
        </w:tc>
        <w:tc>
          <w:tcPr>
            <w:tcW w:w="1275" w:type="dxa"/>
            <w:noWrap w:val="0"/>
            <w:vAlign w:val="center"/>
          </w:tcPr>
          <w:p w14:paraId="6A840CB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w w:val="90"/>
                <w:kern w:val="2"/>
                <w:sz w:val="28"/>
                <w:szCs w:val="36"/>
                <w:lang w:val="en-US" w:eastAsia="zh-CN" w:bidi="ar-SA"/>
              </w:rPr>
            </w:pPr>
            <w:r>
              <w:rPr>
                <w:rFonts w:hint="eastAsia" w:ascii="方正黑体_GBK" w:hAnsi="方正黑体_GBK" w:eastAsia="方正黑体_GBK" w:cs="方正黑体_GBK"/>
                <w:w w:val="90"/>
                <w:sz w:val="28"/>
                <w:szCs w:val="36"/>
                <w:lang w:eastAsia="zh-CN"/>
              </w:rPr>
              <w:t>计价单位</w:t>
            </w:r>
          </w:p>
        </w:tc>
        <w:tc>
          <w:tcPr>
            <w:tcW w:w="1238" w:type="dxa"/>
            <w:noWrap w:val="0"/>
            <w:vAlign w:val="center"/>
          </w:tcPr>
          <w:p w14:paraId="4362A5E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w w:val="90"/>
                <w:kern w:val="2"/>
                <w:sz w:val="28"/>
                <w:szCs w:val="36"/>
                <w:lang w:val="en-US" w:eastAsia="zh-CN" w:bidi="ar-SA"/>
              </w:rPr>
            </w:pPr>
            <w:r>
              <w:rPr>
                <w:rFonts w:hint="eastAsia" w:ascii="方正黑体_GBK" w:hAnsi="方正黑体_GBK" w:eastAsia="方正黑体_GBK" w:cs="方正黑体_GBK"/>
                <w:w w:val="90"/>
                <w:sz w:val="28"/>
                <w:szCs w:val="36"/>
              </w:rPr>
              <w:t>基准收费标准</w:t>
            </w:r>
          </w:p>
        </w:tc>
        <w:tc>
          <w:tcPr>
            <w:tcW w:w="1147" w:type="dxa"/>
            <w:noWrap w:val="0"/>
            <w:vAlign w:val="center"/>
          </w:tcPr>
          <w:p w14:paraId="3484A70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w w:val="90"/>
                <w:kern w:val="2"/>
                <w:sz w:val="28"/>
                <w:szCs w:val="36"/>
                <w:lang w:val="en-US" w:eastAsia="zh-CN" w:bidi="ar-SA"/>
              </w:rPr>
            </w:pPr>
            <w:r>
              <w:rPr>
                <w:rFonts w:hint="eastAsia" w:ascii="方正黑体_GBK" w:hAnsi="方正黑体_GBK" w:eastAsia="方正黑体_GBK" w:cs="方正黑体_GBK"/>
                <w:w w:val="90"/>
                <w:sz w:val="28"/>
                <w:szCs w:val="36"/>
                <w:lang w:eastAsia="zh-CN"/>
              </w:rPr>
              <w:t>上下浮动幅度</w:t>
            </w:r>
          </w:p>
        </w:tc>
        <w:tc>
          <w:tcPr>
            <w:tcW w:w="1928" w:type="dxa"/>
            <w:noWrap w:val="0"/>
            <w:vAlign w:val="center"/>
          </w:tcPr>
          <w:p w14:paraId="2007A88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w w:val="90"/>
                <w:kern w:val="2"/>
                <w:sz w:val="28"/>
                <w:szCs w:val="36"/>
                <w:lang w:val="en-US" w:eastAsia="zh-CN" w:bidi="ar-SA"/>
              </w:rPr>
            </w:pPr>
            <w:r>
              <w:rPr>
                <w:rFonts w:hint="eastAsia" w:ascii="方正黑体_GBK" w:hAnsi="方正黑体_GBK" w:eastAsia="方正黑体_GBK" w:cs="方正黑体_GBK"/>
                <w:w w:val="90"/>
                <w:sz w:val="28"/>
                <w:szCs w:val="36"/>
                <w:lang w:eastAsia="zh-CN"/>
              </w:rPr>
              <w:t>备注</w:t>
            </w:r>
          </w:p>
        </w:tc>
      </w:tr>
      <w:tr w14:paraId="4E003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tblHeader/>
          <w:jc w:val="center"/>
        </w:trPr>
        <w:tc>
          <w:tcPr>
            <w:tcW w:w="500" w:type="dxa"/>
            <w:vMerge w:val="restart"/>
            <w:noWrap w:val="0"/>
            <w:vAlign w:val="center"/>
          </w:tcPr>
          <w:p w14:paraId="7D0EBB4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方正仿宋_GBK" w:eastAsia="仿宋_GB2312" w:cs="方正仿宋_GBK"/>
                <w:w w:val="90"/>
                <w:sz w:val="28"/>
                <w:szCs w:val="36"/>
                <w:lang w:val="en-US" w:eastAsia="zh-CN"/>
              </w:rPr>
            </w:pPr>
            <w:r>
              <w:rPr>
                <w:rFonts w:hint="eastAsia" w:ascii="仿宋_GB2312" w:hAnsi="方正仿宋_GBK" w:eastAsia="仿宋_GB2312" w:cs="方正仿宋_GBK"/>
                <w:w w:val="90"/>
                <w:sz w:val="28"/>
                <w:szCs w:val="36"/>
                <w:lang w:val="en-US" w:eastAsia="zh-CN"/>
              </w:rPr>
              <w:t>15</w:t>
            </w:r>
          </w:p>
        </w:tc>
        <w:tc>
          <w:tcPr>
            <w:tcW w:w="982" w:type="dxa"/>
            <w:vMerge w:val="restart"/>
            <w:noWrap w:val="0"/>
            <w:vAlign w:val="center"/>
          </w:tcPr>
          <w:p w14:paraId="4353DE7A">
            <w:pPr>
              <w:keepNext w:val="0"/>
              <w:keepLines w:val="0"/>
              <w:pageBreakBefore w:val="0"/>
              <w:widowControl w:val="0"/>
              <w:kinsoku/>
              <w:wordWrap/>
              <w:overflowPunct/>
              <w:topLinePunct w:val="0"/>
              <w:autoSpaceDE/>
              <w:autoSpaceDN/>
              <w:bidi w:val="0"/>
              <w:adjustRightInd/>
              <w:snapToGrid/>
              <w:spacing w:line="320" w:lineRule="exact"/>
              <w:jc w:val="left"/>
              <w:textAlignment w:val="auto"/>
            </w:pPr>
            <w:r>
              <w:rPr>
                <w:rFonts w:hint="eastAsia" w:ascii="方正黑体_GBK" w:hAnsi="方正黑体_GBK" w:eastAsia="方正黑体_GBK" w:cs="方正黑体_GBK"/>
                <w:w w:val="90"/>
                <w:sz w:val="24"/>
                <w:szCs w:val="32"/>
                <w:lang w:eastAsia="zh-CN"/>
              </w:rPr>
              <w:t>基础项目：政府指导价</w:t>
            </w:r>
          </w:p>
        </w:tc>
        <w:tc>
          <w:tcPr>
            <w:tcW w:w="1350" w:type="dxa"/>
            <w:vMerge w:val="restart"/>
            <w:noWrap w:val="0"/>
            <w:vAlign w:val="center"/>
          </w:tcPr>
          <w:p w14:paraId="527DFF6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礼仪服务</w:t>
            </w:r>
          </w:p>
        </w:tc>
        <w:tc>
          <w:tcPr>
            <w:tcW w:w="1534" w:type="dxa"/>
            <w:noWrap w:val="0"/>
            <w:vAlign w:val="center"/>
          </w:tcPr>
          <w:p w14:paraId="68B2E1B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守灵</w:t>
            </w:r>
          </w:p>
        </w:tc>
        <w:tc>
          <w:tcPr>
            <w:tcW w:w="4822" w:type="dxa"/>
            <w:vMerge w:val="restart"/>
            <w:noWrap w:val="0"/>
            <w:vAlign w:val="center"/>
          </w:tcPr>
          <w:p w14:paraId="6F7FF3A9">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守灵、告别、安葬等环节礼仪服务费用。</w:t>
            </w:r>
          </w:p>
        </w:tc>
        <w:tc>
          <w:tcPr>
            <w:tcW w:w="1275" w:type="dxa"/>
            <w:vMerge w:val="restart"/>
            <w:noWrap w:val="0"/>
            <w:vAlign w:val="center"/>
          </w:tcPr>
          <w:p w14:paraId="3874F74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val="en-US" w:eastAsia="zh-CN"/>
              </w:rPr>
            </w:pPr>
            <w:r>
              <w:rPr>
                <w:rFonts w:hint="eastAsia" w:ascii="仿宋_GB2312" w:hAnsi="方正仿宋_GBK" w:eastAsia="仿宋_GB2312" w:cs="方正仿宋_GBK"/>
                <w:w w:val="90"/>
                <w:sz w:val="28"/>
                <w:szCs w:val="28"/>
                <w:lang w:val="en-US" w:eastAsia="zh-CN"/>
              </w:rPr>
              <w:t>元/场次</w:t>
            </w:r>
          </w:p>
        </w:tc>
        <w:tc>
          <w:tcPr>
            <w:tcW w:w="1238" w:type="dxa"/>
            <w:noWrap w:val="0"/>
            <w:vAlign w:val="center"/>
          </w:tcPr>
          <w:p w14:paraId="3A0F1D7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方正仿宋_GBK" w:eastAsia="仿宋_GB2312" w:cs="方正仿宋_GBK"/>
                <w:w w:val="90"/>
                <w:sz w:val="28"/>
                <w:szCs w:val="28"/>
                <w:lang w:val="en-US" w:eastAsia="zh-CN"/>
              </w:rPr>
            </w:pPr>
            <w:r>
              <w:rPr>
                <w:rFonts w:hint="eastAsia" w:ascii="仿宋_GB2312" w:hAnsi="方正仿宋_GBK" w:eastAsia="仿宋_GB2312" w:cs="方正仿宋_GBK"/>
                <w:w w:val="90"/>
                <w:sz w:val="28"/>
                <w:szCs w:val="28"/>
                <w:lang w:val="en-US" w:eastAsia="zh-CN"/>
              </w:rPr>
              <w:t>1047</w:t>
            </w:r>
          </w:p>
        </w:tc>
        <w:tc>
          <w:tcPr>
            <w:tcW w:w="1147" w:type="dxa"/>
            <w:vMerge w:val="restart"/>
            <w:noWrap w:val="0"/>
            <w:vAlign w:val="center"/>
          </w:tcPr>
          <w:p w14:paraId="1DD3F786">
            <w:pPr>
              <w:keepNext w:val="0"/>
              <w:keepLines w:val="0"/>
              <w:pageBreakBefore w:val="0"/>
              <w:widowControl w:val="0"/>
              <w:kinsoku/>
              <w:wordWrap/>
              <w:overflowPunct/>
              <w:topLinePunct w:val="0"/>
              <w:autoSpaceDE/>
              <w:autoSpaceDN/>
              <w:bidi w:val="0"/>
              <w:adjustRightInd/>
              <w:snapToGrid/>
              <w:spacing w:line="320" w:lineRule="exact"/>
              <w:jc w:val="both"/>
              <w:textAlignment w:val="auto"/>
            </w:pPr>
            <w:r>
              <w:rPr>
                <w:rFonts w:hint="eastAsia" w:ascii="方正黑体_GBK" w:hAnsi="方正黑体_GBK" w:eastAsia="方正黑体_GBK" w:cs="方正黑体_GBK"/>
                <w:w w:val="90"/>
                <w:sz w:val="24"/>
                <w:szCs w:val="32"/>
              </w:rPr>
              <w:t>上浮不超过15%，下浮不限。</w:t>
            </w:r>
          </w:p>
        </w:tc>
        <w:tc>
          <w:tcPr>
            <w:tcW w:w="1928" w:type="dxa"/>
            <w:vMerge w:val="restart"/>
            <w:noWrap w:val="0"/>
            <w:vAlign w:val="center"/>
          </w:tcPr>
          <w:p w14:paraId="05D649B2">
            <w:pPr>
              <w:keepNext w:val="0"/>
              <w:keepLines w:val="0"/>
              <w:pageBreakBefore w:val="0"/>
              <w:widowControl w:val="0"/>
              <w:kinsoku/>
              <w:wordWrap/>
              <w:overflowPunct/>
              <w:topLinePunct w:val="0"/>
              <w:autoSpaceDE/>
              <w:autoSpaceDN/>
              <w:bidi w:val="0"/>
              <w:adjustRightInd/>
              <w:snapToGrid/>
              <w:spacing w:line="320" w:lineRule="exact"/>
              <w:jc w:val="left"/>
              <w:textAlignment w:val="auto"/>
            </w:pPr>
          </w:p>
        </w:tc>
      </w:tr>
      <w:tr w14:paraId="45CD0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blHeader/>
          <w:jc w:val="center"/>
        </w:trPr>
        <w:tc>
          <w:tcPr>
            <w:tcW w:w="500" w:type="dxa"/>
            <w:vMerge w:val="continue"/>
            <w:noWrap w:val="0"/>
            <w:vAlign w:val="center"/>
          </w:tcPr>
          <w:p w14:paraId="558E3EB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36"/>
                <w:lang w:val="en-US" w:eastAsia="zh-CN"/>
              </w:rPr>
            </w:pPr>
          </w:p>
        </w:tc>
        <w:tc>
          <w:tcPr>
            <w:tcW w:w="982" w:type="dxa"/>
            <w:vMerge w:val="continue"/>
            <w:noWrap w:val="0"/>
            <w:vAlign w:val="center"/>
          </w:tcPr>
          <w:p w14:paraId="3F88D21D">
            <w:pPr>
              <w:keepNext w:val="0"/>
              <w:keepLines w:val="0"/>
              <w:pageBreakBefore w:val="0"/>
              <w:widowControl w:val="0"/>
              <w:kinsoku/>
              <w:wordWrap/>
              <w:overflowPunct/>
              <w:topLinePunct w:val="0"/>
              <w:autoSpaceDE/>
              <w:autoSpaceDN/>
              <w:bidi w:val="0"/>
              <w:adjustRightInd/>
              <w:snapToGrid/>
              <w:spacing w:line="320" w:lineRule="exact"/>
              <w:jc w:val="left"/>
              <w:textAlignment w:val="auto"/>
            </w:pPr>
          </w:p>
        </w:tc>
        <w:tc>
          <w:tcPr>
            <w:tcW w:w="1350" w:type="dxa"/>
            <w:vMerge w:val="continue"/>
            <w:noWrap w:val="0"/>
            <w:vAlign w:val="center"/>
          </w:tcPr>
          <w:p w14:paraId="4F2D8A7B">
            <w:pPr>
              <w:keepNext w:val="0"/>
              <w:keepLines w:val="0"/>
              <w:pageBreakBefore w:val="0"/>
              <w:widowControl w:val="0"/>
              <w:kinsoku/>
              <w:wordWrap/>
              <w:overflowPunct/>
              <w:topLinePunct w:val="0"/>
              <w:autoSpaceDE/>
              <w:autoSpaceDN/>
              <w:bidi w:val="0"/>
              <w:adjustRightInd/>
              <w:snapToGrid/>
              <w:spacing w:line="320" w:lineRule="exact"/>
              <w:jc w:val="center"/>
              <w:textAlignment w:val="auto"/>
            </w:pPr>
          </w:p>
        </w:tc>
        <w:tc>
          <w:tcPr>
            <w:tcW w:w="1534" w:type="dxa"/>
            <w:noWrap w:val="0"/>
            <w:vAlign w:val="center"/>
          </w:tcPr>
          <w:p w14:paraId="7AE7D71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告别</w:t>
            </w:r>
          </w:p>
        </w:tc>
        <w:tc>
          <w:tcPr>
            <w:tcW w:w="4822" w:type="dxa"/>
            <w:vMerge w:val="continue"/>
            <w:noWrap w:val="0"/>
            <w:vAlign w:val="center"/>
          </w:tcPr>
          <w:p w14:paraId="6ACF02A5">
            <w:pPr>
              <w:keepNext w:val="0"/>
              <w:keepLines w:val="0"/>
              <w:pageBreakBefore w:val="0"/>
              <w:widowControl w:val="0"/>
              <w:kinsoku/>
              <w:wordWrap/>
              <w:overflowPunct/>
              <w:topLinePunct w:val="0"/>
              <w:autoSpaceDE/>
              <w:autoSpaceDN/>
              <w:bidi w:val="0"/>
              <w:adjustRightInd/>
              <w:snapToGrid/>
              <w:spacing w:line="320" w:lineRule="exact"/>
              <w:jc w:val="left"/>
              <w:textAlignment w:val="auto"/>
            </w:pPr>
          </w:p>
        </w:tc>
        <w:tc>
          <w:tcPr>
            <w:tcW w:w="1275" w:type="dxa"/>
            <w:vMerge w:val="continue"/>
            <w:noWrap w:val="0"/>
            <w:vAlign w:val="center"/>
          </w:tcPr>
          <w:p w14:paraId="575E9DF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p>
        </w:tc>
        <w:tc>
          <w:tcPr>
            <w:tcW w:w="1238" w:type="dxa"/>
            <w:noWrap w:val="0"/>
            <w:vAlign w:val="center"/>
          </w:tcPr>
          <w:p w14:paraId="5419FBF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方正仿宋_GBK" w:eastAsia="仿宋_GB2312" w:cs="方正仿宋_GBK"/>
                <w:w w:val="90"/>
                <w:sz w:val="28"/>
                <w:szCs w:val="28"/>
                <w:lang w:val="en-US" w:eastAsia="zh-CN"/>
              </w:rPr>
            </w:pPr>
            <w:r>
              <w:rPr>
                <w:rFonts w:hint="eastAsia" w:ascii="仿宋_GB2312" w:hAnsi="方正仿宋_GBK" w:eastAsia="仿宋_GB2312" w:cs="方正仿宋_GBK"/>
                <w:w w:val="90"/>
                <w:sz w:val="28"/>
                <w:szCs w:val="28"/>
                <w:lang w:val="en-US" w:eastAsia="zh-CN"/>
              </w:rPr>
              <w:t>1068</w:t>
            </w:r>
          </w:p>
        </w:tc>
        <w:tc>
          <w:tcPr>
            <w:tcW w:w="1147" w:type="dxa"/>
            <w:vMerge w:val="continue"/>
            <w:noWrap w:val="0"/>
            <w:vAlign w:val="center"/>
          </w:tcPr>
          <w:p w14:paraId="652458F1">
            <w:pPr>
              <w:keepNext w:val="0"/>
              <w:keepLines w:val="0"/>
              <w:pageBreakBefore w:val="0"/>
              <w:widowControl w:val="0"/>
              <w:kinsoku/>
              <w:wordWrap/>
              <w:overflowPunct/>
              <w:topLinePunct w:val="0"/>
              <w:autoSpaceDE/>
              <w:autoSpaceDN/>
              <w:bidi w:val="0"/>
              <w:adjustRightInd/>
              <w:snapToGrid/>
              <w:spacing w:line="320" w:lineRule="exact"/>
              <w:jc w:val="left"/>
              <w:textAlignment w:val="auto"/>
            </w:pPr>
          </w:p>
        </w:tc>
        <w:tc>
          <w:tcPr>
            <w:tcW w:w="1928" w:type="dxa"/>
            <w:vMerge w:val="continue"/>
            <w:noWrap w:val="0"/>
            <w:vAlign w:val="center"/>
          </w:tcPr>
          <w:p w14:paraId="2BE9DB9D">
            <w:pPr>
              <w:keepNext w:val="0"/>
              <w:keepLines w:val="0"/>
              <w:pageBreakBefore w:val="0"/>
              <w:widowControl w:val="0"/>
              <w:kinsoku/>
              <w:wordWrap/>
              <w:overflowPunct/>
              <w:topLinePunct w:val="0"/>
              <w:autoSpaceDE/>
              <w:autoSpaceDN/>
              <w:bidi w:val="0"/>
              <w:adjustRightInd/>
              <w:snapToGrid/>
              <w:spacing w:line="320" w:lineRule="exact"/>
              <w:jc w:val="left"/>
              <w:textAlignment w:val="auto"/>
            </w:pPr>
          </w:p>
        </w:tc>
      </w:tr>
      <w:tr w14:paraId="45EDA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blHeader/>
          <w:jc w:val="center"/>
        </w:trPr>
        <w:tc>
          <w:tcPr>
            <w:tcW w:w="500" w:type="dxa"/>
            <w:vMerge w:val="continue"/>
            <w:noWrap w:val="0"/>
            <w:vAlign w:val="center"/>
          </w:tcPr>
          <w:p w14:paraId="439A7C6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36"/>
                <w:lang w:val="en-US" w:eastAsia="zh-CN"/>
              </w:rPr>
            </w:pPr>
          </w:p>
        </w:tc>
        <w:tc>
          <w:tcPr>
            <w:tcW w:w="982" w:type="dxa"/>
            <w:vMerge w:val="continue"/>
            <w:noWrap w:val="0"/>
            <w:vAlign w:val="center"/>
          </w:tcPr>
          <w:p w14:paraId="3A2C753E">
            <w:pPr>
              <w:keepNext w:val="0"/>
              <w:keepLines w:val="0"/>
              <w:pageBreakBefore w:val="0"/>
              <w:widowControl w:val="0"/>
              <w:kinsoku/>
              <w:wordWrap/>
              <w:overflowPunct/>
              <w:topLinePunct w:val="0"/>
              <w:autoSpaceDE/>
              <w:autoSpaceDN/>
              <w:bidi w:val="0"/>
              <w:adjustRightInd/>
              <w:snapToGrid/>
              <w:spacing w:line="320" w:lineRule="exact"/>
              <w:jc w:val="left"/>
              <w:textAlignment w:val="auto"/>
            </w:pPr>
          </w:p>
        </w:tc>
        <w:tc>
          <w:tcPr>
            <w:tcW w:w="1350" w:type="dxa"/>
            <w:vMerge w:val="continue"/>
            <w:noWrap w:val="0"/>
            <w:vAlign w:val="center"/>
          </w:tcPr>
          <w:p w14:paraId="2D9CCFE6">
            <w:pPr>
              <w:keepNext w:val="0"/>
              <w:keepLines w:val="0"/>
              <w:pageBreakBefore w:val="0"/>
              <w:widowControl w:val="0"/>
              <w:kinsoku/>
              <w:wordWrap/>
              <w:overflowPunct/>
              <w:topLinePunct w:val="0"/>
              <w:autoSpaceDE/>
              <w:autoSpaceDN/>
              <w:bidi w:val="0"/>
              <w:adjustRightInd/>
              <w:snapToGrid/>
              <w:spacing w:line="320" w:lineRule="exact"/>
              <w:jc w:val="center"/>
              <w:textAlignment w:val="auto"/>
            </w:pPr>
          </w:p>
        </w:tc>
        <w:tc>
          <w:tcPr>
            <w:tcW w:w="1534" w:type="dxa"/>
            <w:noWrap w:val="0"/>
            <w:vAlign w:val="center"/>
          </w:tcPr>
          <w:p w14:paraId="0505319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安葬</w:t>
            </w:r>
          </w:p>
        </w:tc>
        <w:tc>
          <w:tcPr>
            <w:tcW w:w="4822" w:type="dxa"/>
            <w:vMerge w:val="continue"/>
            <w:noWrap w:val="0"/>
            <w:vAlign w:val="center"/>
          </w:tcPr>
          <w:p w14:paraId="1740CF89">
            <w:pPr>
              <w:keepNext w:val="0"/>
              <w:keepLines w:val="0"/>
              <w:pageBreakBefore w:val="0"/>
              <w:widowControl w:val="0"/>
              <w:kinsoku/>
              <w:wordWrap/>
              <w:overflowPunct/>
              <w:topLinePunct w:val="0"/>
              <w:autoSpaceDE/>
              <w:autoSpaceDN/>
              <w:bidi w:val="0"/>
              <w:adjustRightInd/>
              <w:snapToGrid/>
              <w:spacing w:line="320" w:lineRule="exact"/>
              <w:jc w:val="left"/>
              <w:textAlignment w:val="auto"/>
            </w:pPr>
          </w:p>
        </w:tc>
        <w:tc>
          <w:tcPr>
            <w:tcW w:w="1275" w:type="dxa"/>
            <w:vMerge w:val="continue"/>
            <w:noWrap w:val="0"/>
            <w:vAlign w:val="center"/>
          </w:tcPr>
          <w:p w14:paraId="12BE5C7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p>
        </w:tc>
        <w:tc>
          <w:tcPr>
            <w:tcW w:w="1238" w:type="dxa"/>
            <w:noWrap w:val="0"/>
            <w:vAlign w:val="center"/>
          </w:tcPr>
          <w:p w14:paraId="220D856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方正仿宋_GBK" w:eastAsia="仿宋_GB2312" w:cs="方正仿宋_GBK"/>
                <w:w w:val="90"/>
                <w:sz w:val="28"/>
                <w:szCs w:val="28"/>
                <w:lang w:val="en-US" w:eastAsia="zh-CN"/>
              </w:rPr>
            </w:pPr>
            <w:r>
              <w:rPr>
                <w:rFonts w:hint="eastAsia" w:ascii="仿宋_GB2312" w:hAnsi="方正仿宋_GBK" w:eastAsia="仿宋_GB2312" w:cs="方正仿宋_GBK"/>
                <w:w w:val="90"/>
                <w:sz w:val="28"/>
                <w:szCs w:val="28"/>
                <w:lang w:val="en-US" w:eastAsia="zh-CN"/>
              </w:rPr>
              <w:t>1575</w:t>
            </w:r>
          </w:p>
        </w:tc>
        <w:tc>
          <w:tcPr>
            <w:tcW w:w="1147" w:type="dxa"/>
            <w:vMerge w:val="continue"/>
            <w:noWrap w:val="0"/>
            <w:vAlign w:val="center"/>
          </w:tcPr>
          <w:p w14:paraId="3662FDB6">
            <w:pPr>
              <w:keepNext w:val="0"/>
              <w:keepLines w:val="0"/>
              <w:pageBreakBefore w:val="0"/>
              <w:widowControl w:val="0"/>
              <w:kinsoku/>
              <w:wordWrap/>
              <w:overflowPunct/>
              <w:topLinePunct w:val="0"/>
              <w:autoSpaceDE/>
              <w:autoSpaceDN/>
              <w:bidi w:val="0"/>
              <w:adjustRightInd/>
              <w:snapToGrid/>
              <w:spacing w:line="320" w:lineRule="exact"/>
              <w:jc w:val="left"/>
              <w:textAlignment w:val="auto"/>
            </w:pPr>
          </w:p>
        </w:tc>
        <w:tc>
          <w:tcPr>
            <w:tcW w:w="1928" w:type="dxa"/>
            <w:vMerge w:val="continue"/>
            <w:noWrap w:val="0"/>
            <w:vAlign w:val="center"/>
          </w:tcPr>
          <w:p w14:paraId="1A1BC93D">
            <w:pPr>
              <w:keepNext w:val="0"/>
              <w:keepLines w:val="0"/>
              <w:pageBreakBefore w:val="0"/>
              <w:widowControl w:val="0"/>
              <w:kinsoku/>
              <w:wordWrap/>
              <w:overflowPunct/>
              <w:topLinePunct w:val="0"/>
              <w:autoSpaceDE/>
              <w:autoSpaceDN/>
              <w:bidi w:val="0"/>
              <w:adjustRightInd/>
              <w:snapToGrid/>
              <w:spacing w:line="320" w:lineRule="exact"/>
              <w:jc w:val="left"/>
              <w:textAlignment w:val="auto"/>
            </w:pPr>
          </w:p>
        </w:tc>
      </w:tr>
      <w:tr w14:paraId="2A6BA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blHeader/>
          <w:jc w:val="center"/>
        </w:trPr>
        <w:tc>
          <w:tcPr>
            <w:tcW w:w="500" w:type="dxa"/>
            <w:vMerge w:val="restart"/>
            <w:noWrap w:val="0"/>
            <w:vAlign w:val="center"/>
          </w:tcPr>
          <w:p w14:paraId="727BD94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方正仿宋_GBK" w:eastAsia="仿宋_GB2312" w:cs="方正仿宋_GBK"/>
                <w:w w:val="90"/>
                <w:sz w:val="28"/>
                <w:szCs w:val="36"/>
                <w:lang w:val="en-US" w:eastAsia="zh-CN"/>
              </w:rPr>
            </w:pPr>
            <w:r>
              <w:rPr>
                <w:rFonts w:hint="eastAsia" w:ascii="仿宋_GB2312" w:hAnsi="方正仿宋_GBK" w:eastAsia="仿宋_GB2312" w:cs="方正仿宋_GBK"/>
                <w:w w:val="90"/>
                <w:sz w:val="28"/>
                <w:szCs w:val="36"/>
                <w:lang w:val="en-US" w:eastAsia="zh-CN"/>
              </w:rPr>
              <w:t>16</w:t>
            </w:r>
          </w:p>
        </w:tc>
        <w:tc>
          <w:tcPr>
            <w:tcW w:w="982" w:type="dxa"/>
            <w:vMerge w:val="continue"/>
            <w:noWrap w:val="0"/>
            <w:vAlign w:val="center"/>
          </w:tcPr>
          <w:p w14:paraId="5F26F539">
            <w:pPr>
              <w:keepNext w:val="0"/>
              <w:keepLines w:val="0"/>
              <w:pageBreakBefore w:val="0"/>
              <w:widowControl w:val="0"/>
              <w:kinsoku/>
              <w:wordWrap/>
              <w:overflowPunct/>
              <w:topLinePunct w:val="0"/>
              <w:autoSpaceDE/>
              <w:autoSpaceDN/>
              <w:bidi w:val="0"/>
              <w:adjustRightInd/>
              <w:snapToGrid/>
              <w:spacing w:line="320" w:lineRule="exact"/>
              <w:jc w:val="left"/>
              <w:textAlignment w:val="auto"/>
            </w:pPr>
          </w:p>
        </w:tc>
        <w:tc>
          <w:tcPr>
            <w:tcW w:w="1350" w:type="dxa"/>
            <w:vMerge w:val="restart"/>
            <w:noWrap w:val="0"/>
            <w:vAlign w:val="center"/>
          </w:tcPr>
          <w:p w14:paraId="41EB446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eastAsia="宋体"/>
                <w:lang w:eastAsia="zh-CN"/>
              </w:rPr>
            </w:pPr>
            <w:r>
              <w:rPr>
                <w:rFonts w:hint="eastAsia" w:ascii="仿宋_GB2312" w:hAnsi="方正仿宋_GBK" w:eastAsia="仿宋_GB2312" w:cs="方正仿宋_GBK"/>
                <w:w w:val="90"/>
                <w:sz w:val="28"/>
                <w:szCs w:val="28"/>
                <w:lang w:eastAsia="zh-CN"/>
              </w:rPr>
              <w:t>公益性公墓墓碑定制</w:t>
            </w:r>
          </w:p>
        </w:tc>
        <w:tc>
          <w:tcPr>
            <w:tcW w:w="1534" w:type="dxa"/>
            <w:noWrap w:val="0"/>
            <w:vAlign w:val="center"/>
          </w:tcPr>
          <w:p w14:paraId="7E84A50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刻字</w:t>
            </w:r>
          </w:p>
        </w:tc>
        <w:tc>
          <w:tcPr>
            <w:tcW w:w="4822" w:type="dxa"/>
            <w:vMerge w:val="restart"/>
            <w:noWrap w:val="0"/>
            <w:vAlign w:val="center"/>
          </w:tcPr>
          <w:p w14:paraId="43690A56">
            <w:pPr>
              <w:keepNext w:val="0"/>
              <w:keepLines w:val="0"/>
              <w:pageBreakBefore w:val="0"/>
              <w:widowControl w:val="0"/>
              <w:kinsoku/>
              <w:wordWrap/>
              <w:overflowPunct/>
              <w:topLinePunct w:val="0"/>
              <w:autoSpaceDE/>
              <w:autoSpaceDN/>
              <w:bidi w:val="0"/>
              <w:adjustRightInd/>
              <w:snapToGrid/>
              <w:spacing w:line="320" w:lineRule="exact"/>
              <w:jc w:val="left"/>
              <w:textAlignment w:val="auto"/>
            </w:pPr>
            <w:r>
              <w:rPr>
                <w:rFonts w:hint="eastAsia" w:ascii="仿宋_GB2312" w:hAnsi="方正仿宋_GBK" w:eastAsia="仿宋_GB2312" w:cs="方正仿宋_GBK"/>
                <w:w w:val="90"/>
                <w:sz w:val="28"/>
                <w:szCs w:val="28"/>
                <w:lang w:eastAsia="zh-CN"/>
              </w:rPr>
              <w:t>包括墓碑刻字、嵌像、描色等服务。</w:t>
            </w:r>
          </w:p>
        </w:tc>
        <w:tc>
          <w:tcPr>
            <w:tcW w:w="1275" w:type="dxa"/>
            <w:vMerge w:val="restart"/>
            <w:noWrap w:val="0"/>
            <w:vAlign w:val="center"/>
          </w:tcPr>
          <w:p w14:paraId="4059ABA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val="en-US" w:eastAsia="zh-CN"/>
              </w:rPr>
              <w:t>元/次</w:t>
            </w:r>
          </w:p>
        </w:tc>
        <w:tc>
          <w:tcPr>
            <w:tcW w:w="1238" w:type="dxa"/>
            <w:noWrap w:val="0"/>
            <w:vAlign w:val="center"/>
          </w:tcPr>
          <w:p w14:paraId="3186B21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val="en-US" w:eastAsia="zh-CN"/>
              </w:rPr>
            </w:pPr>
            <w:r>
              <w:rPr>
                <w:rFonts w:hint="eastAsia" w:ascii="仿宋_GB2312" w:hAnsi="方正仿宋_GBK" w:eastAsia="仿宋_GB2312" w:cs="方正仿宋_GBK"/>
                <w:w w:val="90"/>
                <w:sz w:val="28"/>
                <w:szCs w:val="28"/>
                <w:lang w:eastAsia="zh-CN"/>
              </w:rPr>
              <w:t>138</w:t>
            </w:r>
          </w:p>
        </w:tc>
        <w:tc>
          <w:tcPr>
            <w:tcW w:w="1147" w:type="dxa"/>
            <w:vMerge w:val="continue"/>
            <w:noWrap w:val="0"/>
            <w:vAlign w:val="center"/>
          </w:tcPr>
          <w:p w14:paraId="135536D0">
            <w:pPr>
              <w:keepNext w:val="0"/>
              <w:keepLines w:val="0"/>
              <w:pageBreakBefore w:val="0"/>
              <w:widowControl w:val="0"/>
              <w:kinsoku/>
              <w:wordWrap/>
              <w:overflowPunct/>
              <w:topLinePunct w:val="0"/>
              <w:autoSpaceDE/>
              <w:autoSpaceDN/>
              <w:bidi w:val="0"/>
              <w:adjustRightInd/>
              <w:snapToGrid/>
              <w:spacing w:line="320" w:lineRule="exact"/>
              <w:jc w:val="left"/>
              <w:textAlignment w:val="auto"/>
            </w:pPr>
          </w:p>
        </w:tc>
        <w:tc>
          <w:tcPr>
            <w:tcW w:w="1928" w:type="dxa"/>
            <w:vMerge w:val="restart"/>
            <w:noWrap w:val="0"/>
            <w:vAlign w:val="center"/>
          </w:tcPr>
          <w:p w14:paraId="00A5048E">
            <w:pPr>
              <w:keepNext w:val="0"/>
              <w:keepLines w:val="0"/>
              <w:pageBreakBefore w:val="0"/>
              <w:widowControl w:val="0"/>
              <w:kinsoku/>
              <w:wordWrap/>
              <w:overflowPunct/>
              <w:topLinePunct w:val="0"/>
              <w:autoSpaceDE/>
              <w:autoSpaceDN/>
              <w:bidi w:val="0"/>
              <w:adjustRightInd/>
              <w:snapToGrid/>
              <w:spacing w:line="320" w:lineRule="exact"/>
              <w:jc w:val="left"/>
              <w:textAlignment w:val="auto"/>
            </w:pPr>
          </w:p>
        </w:tc>
      </w:tr>
      <w:tr w14:paraId="611FF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blHeader/>
          <w:jc w:val="center"/>
        </w:trPr>
        <w:tc>
          <w:tcPr>
            <w:tcW w:w="500" w:type="dxa"/>
            <w:vMerge w:val="continue"/>
            <w:noWrap w:val="0"/>
            <w:vAlign w:val="center"/>
          </w:tcPr>
          <w:p w14:paraId="70A3659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36"/>
                <w:lang w:val="en-US" w:eastAsia="zh-CN"/>
              </w:rPr>
            </w:pPr>
          </w:p>
        </w:tc>
        <w:tc>
          <w:tcPr>
            <w:tcW w:w="982" w:type="dxa"/>
            <w:vMerge w:val="continue"/>
            <w:noWrap w:val="0"/>
            <w:vAlign w:val="center"/>
          </w:tcPr>
          <w:p w14:paraId="1D0ADE89">
            <w:pPr>
              <w:keepNext w:val="0"/>
              <w:keepLines w:val="0"/>
              <w:pageBreakBefore w:val="0"/>
              <w:widowControl w:val="0"/>
              <w:kinsoku/>
              <w:wordWrap/>
              <w:overflowPunct/>
              <w:topLinePunct w:val="0"/>
              <w:autoSpaceDE/>
              <w:autoSpaceDN/>
              <w:bidi w:val="0"/>
              <w:adjustRightInd/>
              <w:snapToGrid/>
              <w:spacing w:line="320" w:lineRule="exact"/>
              <w:jc w:val="left"/>
              <w:textAlignment w:val="auto"/>
            </w:pPr>
          </w:p>
        </w:tc>
        <w:tc>
          <w:tcPr>
            <w:tcW w:w="1350" w:type="dxa"/>
            <w:vMerge w:val="continue"/>
            <w:noWrap w:val="0"/>
            <w:vAlign w:val="center"/>
          </w:tcPr>
          <w:p w14:paraId="599CB3CE">
            <w:pPr>
              <w:keepNext w:val="0"/>
              <w:keepLines w:val="0"/>
              <w:pageBreakBefore w:val="0"/>
              <w:widowControl w:val="0"/>
              <w:kinsoku/>
              <w:wordWrap/>
              <w:overflowPunct/>
              <w:topLinePunct w:val="0"/>
              <w:autoSpaceDE/>
              <w:autoSpaceDN/>
              <w:bidi w:val="0"/>
              <w:adjustRightInd/>
              <w:snapToGrid/>
              <w:spacing w:line="320" w:lineRule="exact"/>
              <w:jc w:val="center"/>
              <w:textAlignment w:val="auto"/>
            </w:pPr>
          </w:p>
        </w:tc>
        <w:tc>
          <w:tcPr>
            <w:tcW w:w="1534" w:type="dxa"/>
            <w:noWrap w:val="0"/>
            <w:vAlign w:val="center"/>
          </w:tcPr>
          <w:p w14:paraId="319F721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嵌像</w:t>
            </w:r>
          </w:p>
        </w:tc>
        <w:tc>
          <w:tcPr>
            <w:tcW w:w="4822" w:type="dxa"/>
            <w:vMerge w:val="continue"/>
            <w:noWrap w:val="0"/>
            <w:vAlign w:val="center"/>
          </w:tcPr>
          <w:p w14:paraId="031FABDA">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lang w:eastAsia="zh-CN"/>
              </w:rPr>
            </w:pPr>
          </w:p>
        </w:tc>
        <w:tc>
          <w:tcPr>
            <w:tcW w:w="1275" w:type="dxa"/>
            <w:vMerge w:val="continue"/>
            <w:noWrap w:val="0"/>
            <w:vAlign w:val="center"/>
          </w:tcPr>
          <w:p w14:paraId="5A54041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p>
        </w:tc>
        <w:tc>
          <w:tcPr>
            <w:tcW w:w="1238" w:type="dxa"/>
            <w:noWrap w:val="0"/>
            <w:vAlign w:val="center"/>
          </w:tcPr>
          <w:p w14:paraId="3B7EADB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2寸75、4寸90</w:t>
            </w:r>
          </w:p>
        </w:tc>
        <w:tc>
          <w:tcPr>
            <w:tcW w:w="1147" w:type="dxa"/>
            <w:vMerge w:val="continue"/>
            <w:noWrap w:val="0"/>
            <w:vAlign w:val="center"/>
          </w:tcPr>
          <w:p w14:paraId="0EC499A3">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lang w:eastAsia="zh-CN"/>
              </w:rPr>
            </w:pPr>
          </w:p>
        </w:tc>
        <w:tc>
          <w:tcPr>
            <w:tcW w:w="1928" w:type="dxa"/>
            <w:vMerge w:val="continue"/>
            <w:noWrap w:val="0"/>
            <w:vAlign w:val="center"/>
          </w:tcPr>
          <w:p w14:paraId="23B7086D">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lang w:eastAsia="zh-CN"/>
              </w:rPr>
            </w:pPr>
          </w:p>
        </w:tc>
      </w:tr>
      <w:tr w14:paraId="66132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blHeader/>
          <w:jc w:val="center"/>
        </w:trPr>
        <w:tc>
          <w:tcPr>
            <w:tcW w:w="500" w:type="dxa"/>
            <w:vMerge w:val="continue"/>
            <w:noWrap w:val="0"/>
            <w:vAlign w:val="center"/>
          </w:tcPr>
          <w:p w14:paraId="3C745DB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36"/>
                <w:lang w:val="en-US" w:eastAsia="zh-CN"/>
              </w:rPr>
            </w:pPr>
          </w:p>
        </w:tc>
        <w:tc>
          <w:tcPr>
            <w:tcW w:w="982" w:type="dxa"/>
            <w:vMerge w:val="continue"/>
            <w:noWrap w:val="0"/>
            <w:vAlign w:val="center"/>
          </w:tcPr>
          <w:p w14:paraId="543EDBEF">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lang w:eastAsia="zh-CN"/>
              </w:rPr>
            </w:pPr>
          </w:p>
        </w:tc>
        <w:tc>
          <w:tcPr>
            <w:tcW w:w="1350" w:type="dxa"/>
            <w:vMerge w:val="continue"/>
            <w:noWrap w:val="0"/>
            <w:vAlign w:val="center"/>
          </w:tcPr>
          <w:p w14:paraId="0726680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p>
        </w:tc>
        <w:tc>
          <w:tcPr>
            <w:tcW w:w="1534" w:type="dxa"/>
            <w:noWrap w:val="0"/>
            <w:vAlign w:val="center"/>
          </w:tcPr>
          <w:p w14:paraId="4BDE848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描色</w:t>
            </w:r>
          </w:p>
        </w:tc>
        <w:tc>
          <w:tcPr>
            <w:tcW w:w="4822" w:type="dxa"/>
            <w:vMerge w:val="continue"/>
            <w:noWrap w:val="0"/>
            <w:vAlign w:val="center"/>
          </w:tcPr>
          <w:p w14:paraId="6310FDAF">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lang w:eastAsia="zh-CN"/>
              </w:rPr>
            </w:pPr>
          </w:p>
        </w:tc>
        <w:tc>
          <w:tcPr>
            <w:tcW w:w="1275" w:type="dxa"/>
            <w:vMerge w:val="continue"/>
            <w:noWrap w:val="0"/>
            <w:vAlign w:val="center"/>
          </w:tcPr>
          <w:p w14:paraId="51CB9EF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p>
        </w:tc>
        <w:tc>
          <w:tcPr>
            <w:tcW w:w="1238" w:type="dxa"/>
            <w:noWrap w:val="0"/>
            <w:vAlign w:val="center"/>
          </w:tcPr>
          <w:p w14:paraId="6887B44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100</w:t>
            </w:r>
          </w:p>
        </w:tc>
        <w:tc>
          <w:tcPr>
            <w:tcW w:w="1147" w:type="dxa"/>
            <w:vMerge w:val="continue"/>
            <w:noWrap w:val="0"/>
            <w:vAlign w:val="center"/>
          </w:tcPr>
          <w:p w14:paraId="51A19469">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lang w:eastAsia="zh-CN"/>
              </w:rPr>
            </w:pPr>
          </w:p>
        </w:tc>
        <w:tc>
          <w:tcPr>
            <w:tcW w:w="1928" w:type="dxa"/>
            <w:vMerge w:val="continue"/>
            <w:noWrap w:val="0"/>
            <w:vAlign w:val="center"/>
          </w:tcPr>
          <w:p w14:paraId="3E71A169">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lang w:eastAsia="zh-CN"/>
              </w:rPr>
            </w:pPr>
          </w:p>
        </w:tc>
      </w:tr>
      <w:tr w14:paraId="51898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tblHeader/>
          <w:jc w:val="center"/>
        </w:trPr>
        <w:tc>
          <w:tcPr>
            <w:tcW w:w="500" w:type="dxa"/>
            <w:noWrap w:val="0"/>
            <w:vAlign w:val="center"/>
          </w:tcPr>
          <w:p w14:paraId="34BD36B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方正仿宋_GBK" w:eastAsia="仿宋_GB2312" w:cs="方正仿宋_GBK"/>
                <w:w w:val="90"/>
                <w:sz w:val="28"/>
                <w:szCs w:val="36"/>
                <w:lang w:val="en-US" w:eastAsia="zh-CN"/>
              </w:rPr>
            </w:pPr>
            <w:r>
              <w:rPr>
                <w:rFonts w:hint="eastAsia" w:ascii="仿宋_GB2312" w:hAnsi="方正仿宋_GBK" w:eastAsia="仿宋_GB2312" w:cs="方正仿宋_GBK"/>
                <w:w w:val="90"/>
                <w:sz w:val="28"/>
                <w:szCs w:val="36"/>
                <w:lang w:val="en-US" w:eastAsia="zh-CN"/>
              </w:rPr>
              <w:t>17</w:t>
            </w:r>
          </w:p>
        </w:tc>
        <w:tc>
          <w:tcPr>
            <w:tcW w:w="982" w:type="dxa"/>
            <w:vMerge w:val="continue"/>
            <w:noWrap w:val="0"/>
            <w:vAlign w:val="center"/>
          </w:tcPr>
          <w:p w14:paraId="0A50FA89">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lang w:eastAsia="zh-CN"/>
              </w:rPr>
            </w:pPr>
          </w:p>
        </w:tc>
        <w:tc>
          <w:tcPr>
            <w:tcW w:w="2884" w:type="dxa"/>
            <w:gridSpan w:val="2"/>
            <w:noWrap w:val="0"/>
            <w:vAlign w:val="center"/>
          </w:tcPr>
          <w:p w14:paraId="452267D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代祭扫</w:t>
            </w:r>
          </w:p>
        </w:tc>
        <w:tc>
          <w:tcPr>
            <w:tcW w:w="4822" w:type="dxa"/>
            <w:noWrap w:val="0"/>
            <w:vAlign w:val="center"/>
          </w:tcPr>
          <w:p w14:paraId="637FF421">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lang w:val="en-US" w:eastAsia="zh-CN"/>
              </w:rPr>
            </w:pPr>
            <w:r>
              <w:rPr>
                <w:rFonts w:hint="eastAsia" w:ascii="仿宋_GB2312" w:hAnsi="方正仿宋_GBK" w:eastAsia="仿宋_GB2312" w:cs="方正仿宋_GBK"/>
                <w:w w:val="90"/>
                <w:sz w:val="28"/>
                <w:szCs w:val="28"/>
                <w:lang w:eastAsia="zh-CN"/>
              </w:rPr>
              <w:t>包括工作人员代家属进行祭扫的人力、用品费用。</w:t>
            </w:r>
          </w:p>
        </w:tc>
        <w:tc>
          <w:tcPr>
            <w:tcW w:w="1275" w:type="dxa"/>
            <w:noWrap w:val="0"/>
            <w:vAlign w:val="center"/>
          </w:tcPr>
          <w:p w14:paraId="3ED6879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元/次</w:t>
            </w:r>
          </w:p>
        </w:tc>
        <w:tc>
          <w:tcPr>
            <w:tcW w:w="1238" w:type="dxa"/>
            <w:noWrap w:val="0"/>
            <w:vAlign w:val="center"/>
          </w:tcPr>
          <w:p w14:paraId="5879D8D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方正仿宋_GBK" w:eastAsia="仿宋_GB2312" w:cs="方正仿宋_GBK"/>
                <w:w w:val="90"/>
                <w:sz w:val="28"/>
                <w:szCs w:val="28"/>
                <w:lang w:val="en-US" w:eastAsia="zh-CN"/>
              </w:rPr>
            </w:pPr>
            <w:r>
              <w:rPr>
                <w:rFonts w:hint="eastAsia" w:ascii="仿宋_GB2312" w:hAnsi="方正仿宋_GBK" w:eastAsia="仿宋_GB2312" w:cs="方正仿宋_GBK"/>
                <w:w w:val="90"/>
                <w:sz w:val="28"/>
                <w:szCs w:val="28"/>
                <w:lang w:val="en-US" w:eastAsia="zh-CN"/>
              </w:rPr>
              <w:t>258</w:t>
            </w:r>
          </w:p>
        </w:tc>
        <w:tc>
          <w:tcPr>
            <w:tcW w:w="1147" w:type="dxa"/>
            <w:vMerge w:val="continue"/>
            <w:noWrap w:val="0"/>
            <w:vAlign w:val="center"/>
          </w:tcPr>
          <w:p w14:paraId="52BA369C">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lang w:eastAsia="zh-CN"/>
              </w:rPr>
            </w:pPr>
          </w:p>
        </w:tc>
        <w:tc>
          <w:tcPr>
            <w:tcW w:w="1928" w:type="dxa"/>
            <w:noWrap w:val="0"/>
            <w:vAlign w:val="center"/>
          </w:tcPr>
          <w:p w14:paraId="7B727D1D">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lang w:eastAsia="zh-CN"/>
              </w:rPr>
            </w:pPr>
          </w:p>
        </w:tc>
      </w:tr>
      <w:tr w14:paraId="79987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blHeader/>
          <w:jc w:val="center"/>
        </w:trPr>
        <w:tc>
          <w:tcPr>
            <w:tcW w:w="500" w:type="dxa"/>
            <w:noWrap w:val="0"/>
            <w:vAlign w:val="center"/>
          </w:tcPr>
          <w:p w14:paraId="7CD826A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方正仿宋_GBK" w:eastAsia="仿宋_GB2312" w:cs="方正仿宋_GBK"/>
                <w:w w:val="90"/>
                <w:sz w:val="28"/>
                <w:szCs w:val="36"/>
                <w:lang w:val="en-US" w:eastAsia="zh-CN"/>
              </w:rPr>
            </w:pPr>
            <w:r>
              <w:rPr>
                <w:rFonts w:hint="eastAsia" w:ascii="仿宋_GB2312" w:hAnsi="方正仿宋_GBK" w:eastAsia="仿宋_GB2312" w:cs="方正仿宋_GBK"/>
                <w:w w:val="90"/>
                <w:sz w:val="28"/>
                <w:szCs w:val="36"/>
                <w:lang w:val="en-US" w:eastAsia="zh-CN"/>
              </w:rPr>
              <w:t>18</w:t>
            </w:r>
          </w:p>
        </w:tc>
        <w:tc>
          <w:tcPr>
            <w:tcW w:w="982" w:type="dxa"/>
            <w:vMerge w:val="continue"/>
            <w:noWrap w:val="0"/>
            <w:vAlign w:val="center"/>
          </w:tcPr>
          <w:p w14:paraId="6A68E990">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lang w:eastAsia="zh-CN"/>
              </w:rPr>
            </w:pPr>
          </w:p>
        </w:tc>
        <w:tc>
          <w:tcPr>
            <w:tcW w:w="2884" w:type="dxa"/>
            <w:gridSpan w:val="2"/>
            <w:noWrap w:val="0"/>
            <w:vAlign w:val="center"/>
          </w:tcPr>
          <w:p w14:paraId="0670D86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遗物焚烧</w:t>
            </w:r>
          </w:p>
        </w:tc>
        <w:tc>
          <w:tcPr>
            <w:tcW w:w="4822" w:type="dxa"/>
            <w:noWrap w:val="0"/>
            <w:vAlign w:val="center"/>
          </w:tcPr>
          <w:p w14:paraId="6F561BA2">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lang w:val="en-US" w:eastAsia="zh-CN"/>
              </w:rPr>
            </w:pPr>
            <w:r>
              <w:rPr>
                <w:rFonts w:hint="eastAsia" w:ascii="仿宋_GB2312" w:hAnsi="方正仿宋_GBK" w:eastAsia="仿宋_GB2312" w:cs="方正仿宋_GBK"/>
                <w:w w:val="90"/>
                <w:sz w:val="28"/>
                <w:szCs w:val="28"/>
                <w:lang w:eastAsia="zh-CN"/>
              </w:rPr>
              <w:t>包括遗物焚烧的设施、燃料、人力等费用。</w:t>
            </w:r>
          </w:p>
        </w:tc>
        <w:tc>
          <w:tcPr>
            <w:tcW w:w="1275" w:type="dxa"/>
            <w:noWrap w:val="0"/>
            <w:vAlign w:val="center"/>
          </w:tcPr>
          <w:p w14:paraId="6C1E12E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32"/>
                <w:szCs w:val="40"/>
              </w:rPr>
              <w:t>元/次</w:t>
            </w:r>
          </w:p>
        </w:tc>
        <w:tc>
          <w:tcPr>
            <w:tcW w:w="1238" w:type="dxa"/>
            <w:noWrap w:val="0"/>
            <w:vAlign w:val="center"/>
          </w:tcPr>
          <w:p w14:paraId="696555B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方正仿宋_GBK" w:eastAsia="仿宋_GB2312" w:cs="方正仿宋_GBK"/>
                <w:w w:val="90"/>
                <w:sz w:val="28"/>
                <w:szCs w:val="28"/>
                <w:lang w:val="en-US" w:eastAsia="zh-CN"/>
              </w:rPr>
            </w:pPr>
            <w:r>
              <w:rPr>
                <w:rFonts w:hint="eastAsia" w:ascii="仿宋_GB2312" w:hAnsi="方正仿宋_GBK" w:eastAsia="仿宋_GB2312" w:cs="方正仿宋_GBK"/>
                <w:w w:val="90"/>
                <w:sz w:val="28"/>
                <w:szCs w:val="28"/>
                <w:lang w:val="en-US" w:eastAsia="zh-CN"/>
              </w:rPr>
              <w:t>134</w:t>
            </w:r>
          </w:p>
        </w:tc>
        <w:tc>
          <w:tcPr>
            <w:tcW w:w="1147" w:type="dxa"/>
            <w:vMerge w:val="continue"/>
            <w:noWrap w:val="0"/>
            <w:vAlign w:val="center"/>
          </w:tcPr>
          <w:p w14:paraId="01E9EAD5">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lang w:eastAsia="zh-CN"/>
              </w:rPr>
            </w:pPr>
          </w:p>
        </w:tc>
        <w:tc>
          <w:tcPr>
            <w:tcW w:w="1928" w:type="dxa"/>
            <w:noWrap w:val="0"/>
            <w:vAlign w:val="center"/>
          </w:tcPr>
          <w:p w14:paraId="6D9DB5A2">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lang w:eastAsia="zh-CN"/>
              </w:rPr>
            </w:pPr>
          </w:p>
        </w:tc>
      </w:tr>
      <w:tr w14:paraId="7E522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9" w:hRule="atLeast"/>
          <w:tblHeader/>
          <w:jc w:val="center"/>
        </w:trPr>
        <w:tc>
          <w:tcPr>
            <w:tcW w:w="500" w:type="dxa"/>
            <w:noWrap w:val="0"/>
            <w:vAlign w:val="center"/>
          </w:tcPr>
          <w:p w14:paraId="3F1F65F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方正仿宋_GBK" w:eastAsia="仿宋_GB2312" w:cs="方正仿宋_GBK"/>
                <w:w w:val="90"/>
                <w:sz w:val="28"/>
                <w:szCs w:val="36"/>
                <w:lang w:val="en-US" w:eastAsia="zh-CN"/>
              </w:rPr>
            </w:pPr>
            <w:r>
              <w:rPr>
                <w:rFonts w:hint="eastAsia" w:ascii="仿宋_GB2312" w:hAnsi="方正仿宋_GBK" w:eastAsia="仿宋_GB2312" w:cs="方正仿宋_GBK"/>
                <w:w w:val="90"/>
                <w:sz w:val="28"/>
                <w:szCs w:val="36"/>
                <w:lang w:val="en-US" w:eastAsia="zh-CN"/>
              </w:rPr>
              <w:t>19</w:t>
            </w:r>
          </w:p>
        </w:tc>
        <w:tc>
          <w:tcPr>
            <w:tcW w:w="982" w:type="dxa"/>
            <w:vMerge w:val="continue"/>
            <w:noWrap w:val="0"/>
            <w:vAlign w:val="center"/>
          </w:tcPr>
          <w:p w14:paraId="047CF440">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lang w:eastAsia="zh-CN"/>
              </w:rPr>
            </w:pPr>
          </w:p>
        </w:tc>
        <w:tc>
          <w:tcPr>
            <w:tcW w:w="2884" w:type="dxa"/>
            <w:gridSpan w:val="2"/>
            <w:noWrap w:val="0"/>
            <w:vAlign w:val="center"/>
          </w:tcPr>
          <w:p w14:paraId="39CF773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送骨灰</w:t>
            </w:r>
          </w:p>
        </w:tc>
        <w:tc>
          <w:tcPr>
            <w:tcW w:w="4822" w:type="dxa"/>
            <w:noWrap w:val="0"/>
            <w:vAlign w:val="center"/>
          </w:tcPr>
          <w:p w14:paraId="63A3DEEA">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包括将骨灰从殡仪馆运送到指定地点的运输工具及人力等费用。</w:t>
            </w:r>
          </w:p>
        </w:tc>
        <w:tc>
          <w:tcPr>
            <w:tcW w:w="1275" w:type="dxa"/>
            <w:noWrap w:val="0"/>
            <w:vAlign w:val="center"/>
          </w:tcPr>
          <w:p w14:paraId="0B3AC5B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spacing w:val="-6"/>
                <w:w w:val="90"/>
                <w:sz w:val="32"/>
                <w:szCs w:val="40"/>
              </w:rPr>
              <w:t>元/公里</w:t>
            </w:r>
          </w:p>
        </w:tc>
        <w:tc>
          <w:tcPr>
            <w:tcW w:w="1238" w:type="dxa"/>
            <w:noWrap w:val="0"/>
            <w:vAlign w:val="center"/>
          </w:tcPr>
          <w:p w14:paraId="3F840AF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方正仿宋_GBK" w:eastAsia="仿宋_GB2312" w:cs="方正仿宋_GBK"/>
                <w:w w:val="90"/>
                <w:sz w:val="28"/>
                <w:szCs w:val="28"/>
                <w:lang w:val="en-US" w:eastAsia="zh-CN"/>
              </w:rPr>
            </w:pPr>
            <w:r>
              <w:rPr>
                <w:rFonts w:hint="eastAsia" w:ascii="仿宋_GB2312" w:hAnsi="方正仿宋_GBK" w:eastAsia="仿宋_GB2312" w:cs="方正仿宋_GBK"/>
                <w:w w:val="90"/>
                <w:sz w:val="28"/>
                <w:szCs w:val="28"/>
                <w:lang w:val="en-US" w:eastAsia="zh-CN"/>
              </w:rPr>
              <w:t>7元/公里（往返50公里、不含路桥费）：超过50公里的部分按3.6元/公里计算</w:t>
            </w:r>
          </w:p>
        </w:tc>
        <w:tc>
          <w:tcPr>
            <w:tcW w:w="1147" w:type="dxa"/>
            <w:vMerge w:val="continue"/>
            <w:noWrap w:val="0"/>
            <w:vAlign w:val="center"/>
          </w:tcPr>
          <w:p w14:paraId="1BB004F2">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lang w:eastAsia="zh-CN"/>
              </w:rPr>
            </w:pPr>
          </w:p>
        </w:tc>
        <w:tc>
          <w:tcPr>
            <w:tcW w:w="1928" w:type="dxa"/>
            <w:noWrap w:val="0"/>
            <w:vAlign w:val="center"/>
          </w:tcPr>
          <w:p w14:paraId="132A5D7B">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lang w:eastAsia="zh-CN"/>
              </w:rPr>
            </w:pPr>
          </w:p>
        </w:tc>
      </w:tr>
      <w:tr w14:paraId="685D0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tblHeader/>
          <w:jc w:val="center"/>
        </w:trPr>
        <w:tc>
          <w:tcPr>
            <w:tcW w:w="500" w:type="dxa"/>
            <w:noWrap w:val="0"/>
            <w:vAlign w:val="center"/>
          </w:tcPr>
          <w:p w14:paraId="60D0C27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w w:val="90"/>
                <w:kern w:val="2"/>
                <w:sz w:val="40"/>
                <w:szCs w:val="48"/>
                <w:lang w:val="en-US" w:eastAsia="zh-CN" w:bidi="ar-SA"/>
              </w:rPr>
            </w:pPr>
            <w:r>
              <w:rPr>
                <w:rFonts w:hint="eastAsia" w:ascii="方正黑体_GBK" w:hAnsi="方正黑体_GBK" w:eastAsia="方正黑体_GBK" w:cs="方正黑体_GBK"/>
                <w:w w:val="90"/>
                <w:sz w:val="28"/>
                <w:szCs w:val="36"/>
              </w:rPr>
              <w:t>序号</w:t>
            </w:r>
          </w:p>
        </w:tc>
        <w:tc>
          <w:tcPr>
            <w:tcW w:w="982" w:type="dxa"/>
            <w:noWrap w:val="0"/>
            <w:vAlign w:val="center"/>
          </w:tcPr>
          <w:p w14:paraId="26571F0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w w:val="90"/>
                <w:kern w:val="2"/>
                <w:sz w:val="28"/>
                <w:szCs w:val="36"/>
                <w:lang w:val="en-US" w:eastAsia="zh-CN" w:bidi="ar-SA"/>
              </w:rPr>
            </w:pPr>
            <w:r>
              <w:rPr>
                <w:rFonts w:hint="eastAsia" w:ascii="方正黑体_GBK" w:hAnsi="方正黑体_GBK" w:eastAsia="方正黑体_GBK" w:cs="方正黑体_GBK"/>
                <w:w w:val="90"/>
                <w:sz w:val="28"/>
                <w:szCs w:val="36"/>
              </w:rPr>
              <w:t>价格管理类型</w:t>
            </w:r>
          </w:p>
        </w:tc>
        <w:tc>
          <w:tcPr>
            <w:tcW w:w="2884" w:type="dxa"/>
            <w:gridSpan w:val="2"/>
            <w:noWrap w:val="0"/>
            <w:vAlign w:val="center"/>
          </w:tcPr>
          <w:p w14:paraId="59C0162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w w:val="90"/>
                <w:kern w:val="2"/>
                <w:sz w:val="28"/>
                <w:szCs w:val="36"/>
                <w:lang w:val="en-US" w:eastAsia="zh-CN" w:bidi="ar-SA"/>
              </w:rPr>
            </w:pPr>
            <w:r>
              <w:rPr>
                <w:rFonts w:hint="eastAsia" w:ascii="方正黑体_GBK" w:hAnsi="方正黑体_GBK" w:eastAsia="方正黑体_GBK" w:cs="方正黑体_GBK"/>
                <w:w w:val="90"/>
                <w:sz w:val="28"/>
                <w:szCs w:val="36"/>
              </w:rPr>
              <w:t>服务项目</w:t>
            </w:r>
          </w:p>
        </w:tc>
        <w:tc>
          <w:tcPr>
            <w:tcW w:w="4822" w:type="dxa"/>
            <w:noWrap w:val="0"/>
            <w:vAlign w:val="center"/>
          </w:tcPr>
          <w:p w14:paraId="577BC5B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w w:val="90"/>
                <w:kern w:val="2"/>
                <w:sz w:val="28"/>
                <w:szCs w:val="36"/>
                <w:lang w:val="en-US" w:eastAsia="zh-CN" w:bidi="ar-SA"/>
              </w:rPr>
            </w:pPr>
            <w:r>
              <w:rPr>
                <w:rFonts w:hint="eastAsia" w:ascii="方正黑体_GBK" w:hAnsi="方正黑体_GBK" w:eastAsia="方正黑体_GBK" w:cs="方正黑体_GBK"/>
                <w:w w:val="90"/>
                <w:sz w:val="28"/>
                <w:szCs w:val="36"/>
              </w:rPr>
              <w:t>服务内容</w:t>
            </w:r>
          </w:p>
        </w:tc>
        <w:tc>
          <w:tcPr>
            <w:tcW w:w="1275" w:type="dxa"/>
            <w:noWrap w:val="0"/>
            <w:vAlign w:val="center"/>
          </w:tcPr>
          <w:p w14:paraId="73928BC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w w:val="90"/>
                <w:kern w:val="2"/>
                <w:sz w:val="28"/>
                <w:szCs w:val="36"/>
                <w:lang w:val="en-US" w:eastAsia="zh-CN" w:bidi="ar-SA"/>
              </w:rPr>
            </w:pPr>
            <w:r>
              <w:rPr>
                <w:rFonts w:hint="eastAsia" w:ascii="方正黑体_GBK" w:hAnsi="方正黑体_GBK" w:eastAsia="方正黑体_GBK" w:cs="方正黑体_GBK"/>
                <w:w w:val="90"/>
                <w:sz w:val="28"/>
                <w:szCs w:val="36"/>
                <w:lang w:eastAsia="zh-CN"/>
              </w:rPr>
              <w:t>计价单位</w:t>
            </w:r>
          </w:p>
        </w:tc>
        <w:tc>
          <w:tcPr>
            <w:tcW w:w="1238" w:type="dxa"/>
            <w:noWrap w:val="0"/>
            <w:vAlign w:val="center"/>
          </w:tcPr>
          <w:p w14:paraId="508CC13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w w:val="90"/>
                <w:kern w:val="2"/>
                <w:sz w:val="28"/>
                <w:szCs w:val="36"/>
                <w:lang w:val="en-US" w:eastAsia="zh-CN" w:bidi="ar-SA"/>
              </w:rPr>
            </w:pPr>
            <w:r>
              <w:rPr>
                <w:rFonts w:hint="eastAsia" w:ascii="方正黑体_GBK" w:hAnsi="方正黑体_GBK" w:eastAsia="方正黑体_GBK" w:cs="方正黑体_GBK"/>
                <w:w w:val="90"/>
                <w:sz w:val="28"/>
                <w:szCs w:val="36"/>
              </w:rPr>
              <w:t>基准收费标准</w:t>
            </w:r>
          </w:p>
        </w:tc>
        <w:tc>
          <w:tcPr>
            <w:tcW w:w="1147" w:type="dxa"/>
            <w:noWrap w:val="0"/>
            <w:vAlign w:val="center"/>
          </w:tcPr>
          <w:p w14:paraId="1CB6EBE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w w:val="90"/>
                <w:kern w:val="2"/>
                <w:sz w:val="28"/>
                <w:szCs w:val="36"/>
                <w:lang w:val="en-US" w:eastAsia="zh-CN" w:bidi="ar-SA"/>
              </w:rPr>
            </w:pPr>
            <w:r>
              <w:rPr>
                <w:rFonts w:hint="eastAsia" w:ascii="方正黑体_GBK" w:hAnsi="方正黑体_GBK" w:eastAsia="方正黑体_GBK" w:cs="方正黑体_GBK"/>
                <w:w w:val="90"/>
                <w:sz w:val="28"/>
                <w:szCs w:val="36"/>
                <w:lang w:eastAsia="zh-CN"/>
              </w:rPr>
              <w:t>上下浮动幅度</w:t>
            </w:r>
          </w:p>
        </w:tc>
        <w:tc>
          <w:tcPr>
            <w:tcW w:w="1928" w:type="dxa"/>
            <w:noWrap w:val="0"/>
            <w:vAlign w:val="center"/>
          </w:tcPr>
          <w:p w14:paraId="755F17C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w w:val="90"/>
                <w:kern w:val="2"/>
                <w:sz w:val="28"/>
                <w:szCs w:val="36"/>
                <w:lang w:val="en-US" w:eastAsia="zh-CN" w:bidi="ar-SA"/>
              </w:rPr>
            </w:pPr>
            <w:r>
              <w:rPr>
                <w:rFonts w:hint="eastAsia" w:ascii="方正黑体_GBK" w:hAnsi="方正黑体_GBK" w:eastAsia="方正黑体_GBK" w:cs="方正黑体_GBK"/>
                <w:w w:val="90"/>
                <w:sz w:val="28"/>
                <w:szCs w:val="36"/>
                <w:lang w:eastAsia="zh-CN"/>
              </w:rPr>
              <w:t>备注</w:t>
            </w:r>
          </w:p>
        </w:tc>
      </w:tr>
      <w:tr w14:paraId="27AAB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9" w:hRule="atLeast"/>
          <w:tblHeader/>
          <w:jc w:val="center"/>
        </w:trPr>
        <w:tc>
          <w:tcPr>
            <w:tcW w:w="500" w:type="dxa"/>
            <w:vMerge w:val="restart"/>
            <w:noWrap w:val="0"/>
            <w:vAlign w:val="center"/>
          </w:tcPr>
          <w:p w14:paraId="4359E1CB">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仿宋_GB2312" w:hAnsi="方正仿宋_GBK" w:eastAsia="仿宋_GB2312" w:cs="方正仿宋_GBK"/>
                <w:w w:val="90"/>
                <w:sz w:val="28"/>
                <w:szCs w:val="28"/>
                <w:lang w:val="en-US" w:eastAsia="zh-CN"/>
              </w:rPr>
            </w:pPr>
            <w:r>
              <w:rPr>
                <w:rFonts w:hint="eastAsia" w:ascii="仿宋_GB2312" w:hAnsi="方正仿宋_GBK" w:eastAsia="仿宋_GB2312" w:cs="方正仿宋_GBK"/>
                <w:w w:val="90"/>
                <w:sz w:val="28"/>
                <w:szCs w:val="28"/>
                <w:lang w:val="en-US" w:eastAsia="zh-CN"/>
              </w:rPr>
              <w:t>20</w:t>
            </w:r>
          </w:p>
        </w:tc>
        <w:tc>
          <w:tcPr>
            <w:tcW w:w="982" w:type="dxa"/>
            <w:vMerge w:val="restart"/>
            <w:noWrap w:val="0"/>
            <w:vAlign w:val="center"/>
          </w:tcPr>
          <w:p w14:paraId="46A7F6FF">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lang w:eastAsia="zh-CN"/>
              </w:rPr>
            </w:pPr>
            <w:r>
              <w:rPr>
                <w:rFonts w:hint="eastAsia" w:ascii="方正黑体_GBK" w:hAnsi="方正黑体_GBK" w:eastAsia="方正黑体_GBK" w:cs="方正黑体_GBK"/>
                <w:w w:val="90"/>
                <w:sz w:val="24"/>
                <w:szCs w:val="32"/>
                <w:lang w:eastAsia="zh-CN"/>
              </w:rPr>
              <w:t>基础项目：政府指导价</w:t>
            </w:r>
          </w:p>
        </w:tc>
        <w:tc>
          <w:tcPr>
            <w:tcW w:w="1350" w:type="dxa"/>
            <w:vMerge w:val="restart"/>
            <w:noWrap w:val="0"/>
            <w:vAlign w:val="center"/>
          </w:tcPr>
          <w:p w14:paraId="5EA91FE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骨灰盒</w:t>
            </w:r>
          </w:p>
        </w:tc>
        <w:tc>
          <w:tcPr>
            <w:tcW w:w="1534" w:type="dxa"/>
            <w:noWrap w:val="0"/>
            <w:vAlign w:val="center"/>
          </w:tcPr>
          <w:p w14:paraId="2DB0E69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惠民殡葬政策提供的骨灰盒</w:t>
            </w:r>
          </w:p>
        </w:tc>
        <w:tc>
          <w:tcPr>
            <w:tcW w:w="4822" w:type="dxa"/>
            <w:noWrap w:val="0"/>
            <w:vAlign w:val="center"/>
          </w:tcPr>
          <w:p w14:paraId="2ACBF2D5">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种类不少于3种，成本（含税费）参照当地惠民殡葬政策规定的骨灰盒补贴标准。</w:t>
            </w:r>
          </w:p>
        </w:tc>
        <w:tc>
          <w:tcPr>
            <w:tcW w:w="1275" w:type="dxa"/>
            <w:vMerge w:val="restart"/>
            <w:noWrap w:val="0"/>
            <w:vAlign w:val="center"/>
          </w:tcPr>
          <w:p w14:paraId="60E81BC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元/个</w:t>
            </w:r>
          </w:p>
        </w:tc>
        <w:tc>
          <w:tcPr>
            <w:tcW w:w="1238" w:type="dxa"/>
            <w:noWrap w:val="0"/>
            <w:vAlign w:val="center"/>
          </w:tcPr>
          <w:p w14:paraId="7939508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val="en-US" w:eastAsia="zh-CN"/>
              </w:rPr>
            </w:pPr>
            <w:r>
              <w:rPr>
                <w:rFonts w:hint="eastAsia" w:ascii="仿宋_GB2312" w:hAnsi="方正仿宋_GBK" w:eastAsia="仿宋_GB2312" w:cs="方正仿宋_GBK"/>
                <w:w w:val="90"/>
                <w:sz w:val="28"/>
                <w:szCs w:val="28"/>
                <w:lang w:eastAsia="zh-CN"/>
              </w:rPr>
              <w:t>标准参照当地惠民殡葬政策规定的骨灰盒补贴标准</w:t>
            </w:r>
          </w:p>
        </w:tc>
        <w:tc>
          <w:tcPr>
            <w:tcW w:w="1147" w:type="dxa"/>
            <w:vMerge w:val="restart"/>
            <w:noWrap w:val="0"/>
            <w:vAlign w:val="center"/>
          </w:tcPr>
          <w:p w14:paraId="575507F9">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_GB2312" w:hAnsi="方正仿宋_GBK" w:eastAsia="仿宋_GB2312" w:cs="方正仿宋_GBK"/>
                <w:w w:val="90"/>
                <w:sz w:val="28"/>
                <w:szCs w:val="28"/>
                <w:lang w:eastAsia="zh-CN"/>
              </w:rPr>
            </w:pPr>
            <w:r>
              <w:rPr>
                <w:rFonts w:hint="eastAsia" w:ascii="方正黑体_GBK" w:hAnsi="方正黑体_GBK" w:eastAsia="方正黑体_GBK" w:cs="方正黑体_GBK"/>
                <w:w w:val="90"/>
                <w:sz w:val="24"/>
                <w:szCs w:val="32"/>
              </w:rPr>
              <w:t>上浮不超过15%，下浮不限。</w:t>
            </w:r>
          </w:p>
        </w:tc>
        <w:tc>
          <w:tcPr>
            <w:tcW w:w="1928" w:type="dxa"/>
            <w:vMerge w:val="restart"/>
            <w:noWrap w:val="0"/>
            <w:vAlign w:val="center"/>
          </w:tcPr>
          <w:p w14:paraId="1F97136E">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lang w:eastAsia="zh-CN"/>
              </w:rPr>
            </w:pPr>
          </w:p>
        </w:tc>
      </w:tr>
      <w:tr w14:paraId="5BDD4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9" w:hRule="atLeast"/>
          <w:tblHeader/>
          <w:jc w:val="center"/>
        </w:trPr>
        <w:tc>
          <w:tcPr>
            <w:tcW w:w="500" w:type="dxa"/>
            <w:vMerge w:val="continue"/>
            <w:noWrap w:val="0"/>
            <w:vAlign w:val="center"/>
          </w:tcPr>
          <w:p w14:paraId="0D02B4D1">
            <w:pPr>
              <w:keepNext w:val="0"/>
              <w:keepLines w:val="0"/>
              <w:pageBreakBefore w:val="0"/>
              <w:widowControl w:val="0"/>
              <w:kinsoku/>
              <w:wordWrap/>
              <w:overflowPunct/>
              <w:topLinePunct w:val="0"/>
              <w:autoSpaceDE/>
              <w:autoSpaceDN/>
              <w:bidi w:val="0"/>
              <w:adjustRightInd/>
              <w:snapToGrid/>
              <w:spacing w:line="320" w:lineRule="exact"/>
              <w:jc w:val="left"/>
              <w:textAlignment w:val="auto"/>
            </w:pPr>
          </w:p>
        </w:tc>
        <w:tc>
          <w:tcPr>
            <w:tcW w:w="982" w:type="dxa"/>
            <w:vMerge w:val="continue"/>
            <w:noWrap w:val="0"/>
            <w:vAlign w:val="center"/>
          </w:tcPr>
          <w:p w14:paraId="320D9184">
            <w:pPr>
              <w:keepNext w:val="0"/>
              <w:keepLines w:val="0"/>
              <w:pageBreakBefore w:val="0"/>
              <w:widowControl w:val="0"/>
              <w:kinsoku/>
              <w:wordWrap/>
              <w:overflowPunct/>
              <w:topLinePunct w:val="0"/>
              <w:autoSpaceDE/>
              <w:autoSpaceDN/>
              <w:bidi w:val="0"/>
              <w:adjustRightInd/>
              <w:snapToGrid/>
              <w:spacing w:line="320" w:lineRule="exact"/>
              <w:jc w:val="left"/>
              <w:textAlignment w:val="auto"/>
            </w:pPr>
          </w:p>
        </w:tc>
        <w:tc>
          <w:tcPr>
            <w:tcW w:w="1350" w:type="dxa"/>
            <w:vMerge w:val="continue"/>
            <w:noWrap w:val="0"/>
            <w:vAlign w:val="center"/>
          </w:tcPr>
          <w:p w14:paraId="6FF3063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p>
        </w:tc>
        <w:tc>
          <w:tcPr>
            <w:tcW w:w="1534" w:type="dxa"/>
            <w:noWrap w:val="0"/>
            <w:vAlign w:val="center"/>
          </w:tcPr>
          <w:p w14:paraId="7436C1A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其他类型</w:t>
            </w:r>
          </w:p>
        </w:tc>
        <w:tc>
          <w:tcPr>
            <w:tcW w:w="4822" w:type="dxa"/>
            <w:noWrap w:val="0"/>
            <w:vAlign w:val="center"/>
          </w:tcPr>
          <w:p w14:paraId="1FFB4284">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品种可多样，价格不超过10种。中档收费种类占比应达到30%以上，低档收费种类占比应达到40%以上。</w:t>
            </w:r>
          </w:p>
        </w:tc>
        <w:tc>
          <w:tcPr>
            <w:tcW w:w="1275" w:type="dxa"/>
            <w:vMerge w:val="continue"/>
            <w:noWrap w:val="0"/>
            <w:vAlign w:val="center"/>
          </w:tcPr>
          <w:p w14:paraId="3E9AA58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p>
        </w:tc>
        <w:tc>
          <w:tcPr>
            <w:tcW w:w="1238" w:type="dxa"/>
            <w:noWrap w:val="0"/>
            <w:vAlign w:val="center"/>
          </w:tcPr>
          <w:p w14:paraId="469413D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190-1500</w:t>
            </w:r>
          </w:p>
        </w:tc>
        <w:tc>
          <w:tcPr>
            <w:tcW w:w="1147" w:type="dxa"/>
            <w:vMerge w:val="continue"/>
            <w:noWrap w:val="0"/>
            <w:vAlign w:val="center"/>
          </w:tcPr>
          <w:p w14:paraId="31C362F9">
            <w:pPr>
              <w:keepNext w:val="0"/>
              <w:keepLines w:val="0"/>
              <w:pageBreakBefore w:val="0"/>
              <w:widowControl w:val="0"/>
              <w:kinsoku/>
              <w:wordWrap/>
              <w:overflowPunct/>
              <w:topLinePunct w:val="0"/>
              <w:autoSpaceDE/>
              <w:autoSpaceDN/>
              <w:bidi w:val="0"/>
              <w:adjustRightInd/>
              <w:snapToGrid/>
              <w:spacing w:line="320" w:lineRule="exact"/>
              <w:jc w:val="left"/>
              <w:textAlignment w:val="auto"/>
            </w:pPr>
          </w:p>
        </w:tc>
        <w:tc>
          <w:tcPr>
            <w:tcW w:w="1928" w:type="dxa"/>
            <w:vMerge w:val="continue"/>
            <w:noWrap w:val="0"/>
            <w:vAlign w:val="center"/>
          </w:tcPr>
          <w:p w14:paraId="6A4F1309">
            <w:pPr>
              <w:keepNext w:val="0"/>
              <w:keepLines w:val="0"/>
              <w:pageBreakBefore w:val="0"/>
              <w:widowControl w:val="0"/>
              <w:kinsoku/>
              <w:wordWrap/>
              <w:overflowPunct/>
              <w:topLinePunct w:val="0"/>
              <w:autoSpaceDE/>
              <w:autoSpaceDN/>
              <w:bidi w:val="0"/>
              <w:adjustRightInd/>
              <w:snapToGrid/>
              <w:spacing w:line="320" w:lineRule="exact"/>
              <w:jc w:val="left"/>
              <w:textAlignment w:val="auto"/>
            </w:pPr>
          </w:p>
        </w:tc>
      </w:tr>
      <w:tr w14:paraId="261D9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tblHeader/>
          <w:jc w:val="center"/>
        </w:trPr>
        <w:tc>
          <w:tcPr>
            <w:tcW w:w="500" w:type="dxa"/>
            <w:noWrap w:val="0"/>
            <w:vAlign w:val="center"/>
          </w:tcPr>
          <w:p w14:paraId="49D017C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val="en-US" w:eastAsia="zh-CN"/>
              </w:rPr>
            </w:pPr>
            <w:r>
              <w:rPr>
                <w:rFonts w:hint="eastAsia" w:ascii="方正黑体_GBK" w:hAnsi="方正黑体_GBK" w:eastAsia="方正黑体_GBK" w:cs="方正黑体_GBK"/>
                <w:w w:val="90"/>
                <w:sz w:val="28"/>
                <w:szCs w:val="36"/>
              </w:rPr>
              <w:t>序号</w:t>
            </w:r>
          </w:p>
        </w:tc>
        <w:tc>
          <w:tcPr>
            <w:tcW w:w="982" w:type="dxa"/>
            <w:noWrap w:val="0"/>
            <w:vAlign w:val="center"/>
          </w:tcPr>
          <w:p w14:paraId="21D1767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w w:val="90"/>
                <w:sz w:val="24"/>
                <w:szCs w:val="32"/>
                <w:lang w:eastAsia="zh-CN"/>
              </w:rPr>
            </w:pPr>
            <w:r>
              <w:rPr>
                <w:rFonts w:hint="eastAsia" w:ascii="方正黑体_GBK" w:hAnsi="方正黑体_GBK" w:eastAsia="方正黑体_GBK" w:cs="方正黑体_GBK"/>
                <w:w w:val="90"/>
                <w:sz w:val="28"/>
                <w:szCs w:val="36"/>
              </w:rPr>
              <w:t>价格管理类型</w:t>
            </w:r>
          </w:p>
        </w:tc>
        <w:tc>
          <w:tcPr>
            <w:tcW w:w="2884" w:type="dxa"/>
            <w:gridSpan w:val="2"/>
            <w:noWrap w:val="0"/>
            <w:vAlign w:val="center"/>
          </w:tcPr>
          <w:p w14:paraId="39BFE83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方正黑体_GBK" w:hAnsi="方正黑体_GBK" w:eastAsia="方正黑体_GBK" w:cs="方正黑体_GBK"/>
                <w:w w:val="90"/>
                <w:sz w:val="28"/>
                <w:szCs w:val="36"/>
              </w:rPr>
              <w:t>服务项目</w:t>
            </w:r>
          </w:p>
        </w:tc>
        <w:tc>
          <w:tcPr>
            <w:tcW w:w="4822" w:type="dxa"/>
            <w:noWrap w:val="0"/>
            <w:vAlign w:val="center"/>
          </w:tcPr>
          <w:p w14:paraId="466D3BF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方正黑体_GBK" w:hAnsi="方正黑体_GBK" w:eastAsia="方正黑体_GBK" w:cs="方正黑体_GBK"/>
                <w:w w:val="90"/>
                <w:sz w:val="28"/>
                <w:szCs w:val="36"/>
              </w:rPr>
              <w:t>服务内容</w:t>
            </w:r>
          </w:p>
        </w:tc>
        <w:tc>
          <w:tcPr>
            <w:tcW w:w="1275" w:type="dxa"/>
            <w:noWrap w:val="0"/>
            <w:vAlign w:val="center"/>
          </w:tcPr>
          <w:p w14:paraId="26A10D0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方正黑体_GBK" w:hAnsi="方正黑体_GBK" w:eastAsia="方正黑体_GBK" w:cs="方正黑体_GBK"/>
                <w:w w:val="90"/>
                <w:sz w:val="28"/>
                <w:szCs w:val="36"/>
                <w:lang w:eastAsia="zh-CN"/>
              </w:rPr>
              <w:t>计价单位</w:t>
            </w:r>
          </w:p>
        </w:tc>
        <w:tc>
          <w:tcPr>
            <w:tcW w:w="2385" w:type="dxa"/>
            <w:gridSpan w:val="2"/>
            <w:noWrap w:val="0"/>
            <w:vAlign w:val="center"/>
          </w:tcPr>
          <w:p w14:paraId="5672EC0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eastAsia="宋体"/>
                <w:lang w:eastAsia="zh-CN"/>
              </w:rPr>
            </w:pPr>
            <w:r>
              <w:rPr>
                <w:rFonts w:hint="eastAsia" w:ascii="方正黑体_GBK" w:hAnsi="方正黑体_GBK" w:eastAsia="方正黑体_GBK" w:cs="方正黑体_GBK"/>
                <w:w w:val="90"/>
                <w:sz w:val="28"/>
                <w:szCs w:val="36"/>
                <w:lang w:eastAsia="zh-CN"/>
              </w:rPr>
              <w:t>收费标准参考区间</w:t>
            </w:r>
          </w:p>
        </w:tc>
        <w:tc>
          <w:tcPr>
            <w:tcW w:w="1928" w:type="dxa"/>
            <w:noWrap w:val="0"/>
            <w:vAlign w:val="center"/>
          </w:tcPr>
          <w:p w14:paraId="2DE465DF">
            <w:pPr>
              <w:keepNext w:val="0"/>
              <w:keepLines w:val="0"/>
              <w:pageBreakBefore w:val="0"/>
              <w:widowControl w:val="0"/>
              <w:kinsoku/>
              <w:wordWrap/>
              <w:overflowPunct/>
              <w:topLinePunct w:val="0"/>
              <w:autoSpaceDE/>
              <w:autoSpaceDN/>
              <w:bidi w:val="0"/>
              <w:adjustRightInd/>
              <w:snapToGrid/>
              <w:spacing w:line="320" w:lineRule="exact"/>
              <w:jc w:val="center"/>
              <w:textAlignment w:val="auto"/>
            </w:pPr>
            <w:r>
              <w:rPr>
                <w:rFonts w:hint="eastAsia" w:ascii="方正黑体_GBK" w:hAnsi="方正黑体_GBK" w:eastAsia="方正黑体_GBK" w:cs="方正黑体_GBK"/>
                <w:w w:val="90"/>
                <w:sz w:val="28"/>
                <w:szCs w:val="36"/>
                <w:lang w:eastAsia="zh-CN"/>
              </w:rPr>
              <w:t>备注</w:t>
            </w:r>
          </w:p>
        </w:tc>
      </w:tr>
      <w:tr w14:paraId="1A812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blHeader/>
          <w:jc w:val="center"/>
        </w:trPr>
        <w:tc>
          <w:tcPr>
            <w:tcW w:w="500" w:type="dxa"/>
            <w:noWrap w:val="0"/>
            <w:vAlign w:val="center"/>
          </w:tcPr>
          <w:p w14:paraId="38FB4B0D">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仿宋_GB2312" w:hAnsi="方正仿宋_GBK" w:eastAsia="仿宋_GB2312" w:cs="方正仿宋_GBK"/>
                <w:w w:val="90"/>
                <w:sz w:val="28"/>
                <w:szCs w:val="28"/>
                <w:lang w:val="en-US" w:eastAsia="zh-CN"/>
              </w:rPr>
            </w:pPr>
            <w:r>
              <w:rPr>
                <w:rFonts w:hint="eastAsia" w:ascii="仿宋_GB2312" w:hAnsi="方正仿宋_GBK" w:eastAsia="仿宋_GB2312" w:cs="方正仿宋_GBK"/>
                <w:w w:val="90"/>
                <w:sz w:val="28"/>
                <w:szCs w:val="28"/>
                <w:lang w:val="en-US" w:eastAsia="zh-CN"/>
              </w:rPr>
              <w:t>21</w:t>
            </w:r>
          </w:p>
        </w:tc>
        <w:tc>
          <w:tcPr>
            <w:tcW w:w="982" w:type="dxa"/>
            <w:noWrap w:val="0"/>
            <w:vAlign w:val="center"/>
          </w:tcPr>
          <w:p w14:paraId="4B1F087C">
            <w:pPr>
              <w:keepNext w:val="0"/>
              <w:keepLines w:val="0"/>
              <w:pageBreakBefore w:val="0"/>
              <w:widowControl w:val="0"/>
              <w:kinsoku/>
              <w:wordWrap/>
              <w:overflowPunct/>
              <w:topLinePunct w:val="0"/>
              <w:autoSpaceDE/>
              <w:autoSpaceDN/>
              <w:bidi w:val="0"/>
              <w:adjustRightInd/>
              <w:snapToGrid/>
              <w:spacing w:line="320" w:lineRule="exact"/>
              <w:jc w:val="left"/>
              <w:textAlignment w:val="auto"/>
              <w:rPr>
                <w:sz w:val="21"/>
                <w:szCs w:val="24"/>
              </w:rPr>
            </w:pPr>
            <w:r>
              <w:rPr>
                <w:rFonts w:hint="eastAsia" w:ascii="方正黑体_GBK" w:hAnsi="方正黑体_GBK" w:eastAsia="方正黑体_GBK" w:cs="方正黑体_GBK"/>
                <w:w w:val="90"/>
                <w:sz w:val="24"/>
                <w:szCs w:val="32"/>
                <w:lang w:eastAsia="zh-CN"/>
              </w:rPr>
              <w:t>非基础项目：市场调节价（</w:t>
            </w:r>
            <w:r>
              <w:rPr>
                <w:rFonts w:hint="eastAsia" w:ascii="方正黑体_GBK" w:hAnsi="方正黑体_GBK" w:eastAsia="方正黑体_GBK" w:cs="方正黑体_GBK"/>
                <w:w w:val="90"/>
                <w:sz w:val="24"/>
                <w:szCs w:val="32"/>
                <w:lang w:val="en-US" w:eastAsia="zh-CN"/>
              </w:rPr>
              <w:t>2项</w:t>
            </w:r>
            <w:r>
              <w:rPr>
                <w:rFonts w:hint="eastAsia" w:ascii="方正黑体_GBK" w:hAnsi="方正黑体_GBK" w:eastAsia="方正黑体_GBK" w:cs="方正黑体_GBK"/>
                <w:w w:val="90"/>
                <w:sz w:val="24"/>
                <w:szCs w:val="32"/>
                <w:lang w:eastAsia="zh-CN"/>
              </w:rPr>
              <w:t>）</w:t>
            </w:r>
          </w:p>
        </w:tc>
        <w:tc>
          <w:tcPr>
            <w:tcW w:w="2884" w:type="dxa"/>
            <w:gridSpan w:val="2"/>
            <w:noWrap w:val="0"/>
            <w:vAlign w:val="center"/>
          </w:tcPr>
          <w:p w14:paraId="1F20817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经营性公墓墓位使用费</w:t>
            </w:r>
          </w:p>
        </w:tc>
        <w:tc>
          <w:tcPr>
            <w:tcW w:w="4822" w:type="dxa"/>
            <w:noWrap w:val="0"/>
            <w:vAlign w:val="center"/>
          </w:tcPr>
          <w:p w14:paraId="672CD992">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非政府举办或参与举办的经营性公墓墓位（格位）使用费，含墓位（格位）、</w:t>
            </w:r>
            <w:r>
              <w:rPr>
                <w:rFonts w:hint="eastAsia" w:ascii="仿宋_GB2312" w:hAnsi="方正仿宋_GBK" w:cs="方正仿宋_GBK"/>
                <w:w w:val="90"/>
                <w:sz w:val="28"/>
                <w:szCs w:val="28"/>
                <w:lang w:eastAsia="zh-CN"/>
              </w:rPr>
              <w:t>墓碑</w:t>
            </w:r>
            <w:r>
              <w:rPr>
                <w:rFonts w:hint="eastAsia" w:ascii="仿宋_GB2312" w:hAnsi="方正仿宋_GBK" w:eastAsia="仿宋_GB2312" w:cs="方正仿宋_GBK"/>
                <w:w w:val="90"/>
                <w:sz w:val="28"/>
                <w:szCs w:val="28"/>
                <w:lang w:eastAsia="zh-CN"/>
              </w:rPr>
              <w:t>建设费，土地成本费，</w:t>
            </w:r>
            <w:r>
              <w:rPr>
                <w:rFonts w:hint="eastAsia" w:ascii="仿宋_GB2312" w:hAnsi="方正仿宋_GBK" w:cs="方正仿宋_GBK"/>
                <w:w w:val="90"/>
                <w:sz w:val="28"/>
                <w:szCs w:val="28"/>
                <w:lang w:eastAsia="zh-CN"/>
              </w:rPr>
              <w:t>材料</w:t>
            </w:r>
            <w:r>
              <w:rPr>
                <w:rFonts w:hint="eastAsia" w:ascii="仿宋_GB2312" w:hAnsi="方正仿宋_GBK" w:eastAsia="仿宋_GB2312" w:cs="方正仿宋_GBK"/>
                <w:w w:val="90"/>
                <w:sz w:val="28"/>
                <w:szCs w:val="28"/>
                <w:lang w:eastAsia="zh-CN"/>
              </w:rPr>
              <w:t>费，税费，墓碑刻字或嵌像、描色等，骨灰安葬的开穴、安放、封穴等施工费等。</w:t>
            </w:r>
          </w:p>
        </w:tc>
        <w:tc>
          <w:tcPr>
            <w:tcW w:w="1275" w:type="dxa"/>
            <w:noWrap w:val="0"/>
            <w:vAlign w:val="center"/>
          </w:tcPr>
          <w:p w14:paraId="3F83BDF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方正仿宋_GBK" w:eastAsia="仿宋_GB2312" w:cs="方正仿宋_GBK"/>
                <w:w w:val="90"/>
                <w:sz w:val="28"/>
                <w:szCs w:val="28"/>
                <w:lang w:val="en-US" w:eastAsia="zh-CN"/>
              </w:rPr>
            </w:pPr>
            <w:r>
              <w:rPr>
                <w:rFonts w:hint="eastAsia" w:ascii="仿宋_GB2312" w:hAnsi="方正仿宋_GBK" w:eastAsia="仿宋_GB2312" w:cs="方正仿宋_GBK"/>
                <w:w w:val="90"/>
                <w:sz w:val="28"/>
                <w:szCs w:val="28"/>
                <w:lang w:eastAsia="zh-CN"/>
              </w:rPr>
              <w:t>元</w:t>
            </w:r>
            <w:r>
              <w:rPr>
                <w:rFonts w:hint="eastAsia" w:ascii="仿宋_GB2312" w:hAnsi="方正仿宋_GBK" w:eastAsia="仿宋_GB2312" w:cs="方正仿宋_GBK"/>
                <w:w w:val="90"/>
                <w:sz w:val="28"/>
                <w:szCs w:val="28"/>
                <w:lang w:val="en-US" w:eastAsia="zh-CN"/>
              </w:rPr>
              <w:t>/座</w:t>
            </w:r>
          </w:p>
        </w:tc>
        <w:tc>
          <w:tcPr>
            <w:tcW w:w="2385" w:type="dxa"/>
            <w:gridSpan w:val="2"/>
            <w:noWrap w:val="0"/>
            <w:vAlign w:val="center"/>
          </w:tcPr>
          <w:p w14:paraId="429A4D53">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_GB2312" w:hAnsi="方正仿宋_GBK" w:eastAsia="仿宋_GB2312" w:cs="方正仿宋_GBK"/>
                <w:w w:val="90"/>
                <w:sz w:val="28"/>
                <w:szCs w:val="28"/>
                <w:lang w:val="en-US" w:eastAsia="zh-CN"/>
              </w:rPr>
            </w:pPr>
            <w:r>
              <w:rPr>
                <w:rFonts w:hint="eastAsia" w:ascii="仿宋_GB2312" w:hAnsi="方正仿宋_GBK" w:eastAsia="仿宋_GB2312" w:cs="方正仿宋_GBK"/>
                <w:w w:val="90"/>
                <w:sz w:val="28"/>
                <w:szCs w:val="28"/>
                <w:lang w:val="en-US" w:eastAsia="zh-CN"/>
              </w:rPr>
              <w:t>条件1.合理利润不超过完全成本的30%；</w:t>
            </w:r>
          </w:p>
          <w:p w14:paraId="1B45B711">
            <w:pPr>
              <w:keepNext w:val="0"/>
              <w:keepLines w:val="0"/>
              <w:pageBreakBefore w:val="0"/>
              <w:widowControl w:val="0"/>
              <w:kinsoku/>
              <w:wordWrap/>
              <w:overflowPunct/>
              <w:topLinePunct w:val="0"/>
              <w:autoSpaceDE/>
              <w:autoSpaceDN/>
              <w:bidi w:val="0"/>
              <w:adjustRightInd/>
              <w:snapToGrid/>
              <w:spacing w:line="320" w:lineRule="exact"/>
              <w:jc w:val="both"/>
              <w:textAlignment w:val="auto"/>
              <w:rPr>
                <w:sz w:val="21"/>
                <w:szCs w:val="24"/>
              </w:rPr>
            </w:pPr>
            <w:r>
              <w:rPr>
                <w:rFonts w:hint="eastAsia" w:ascii="仿宋_GB2312" w:hAnsi="方正仿宋_GBK" w:eastAsia="仿宋_GB2312" w:cs="方正仿宋_GBK"/>
                <w:w w:val="90"/>
                <w:sz w:val="28"/>
                <w:szCs w:val="28"/>
                <w:lang w:val="en-US" w:eastAsia="zh-CN"/>
              </w:rPr>
              <w:t>条件2.收费标准参考区间上限为9.8万元/座。以上2个条件按就低原则确定具体上限。</w:t>
            </w:r>
          </w:p>
        </w:tc>
        <w:tc>
          <w:tcPr>
            <w:tcW w:w="1928" w:type="dxa"/>
            <w:noWrap w:val="0"/>
            <w:vAlign w:val="center"/>
          </w:tcPr>
          <w:p w14:paraId="2C6F3479">
            <w:pPr>
              <w:keepNext w:val="0"/>
              <w:keepLines w:val="0"/>
              <w:pageBreakBefore w:val="0"/>
              <w:widowControl w:val="0"/>
              <w:kinsoku/>
              <w:wordWrap/>
              <w:overflowPunct/>
              <w:topLinePunct w:val="0"/>
              <w:autoSpaceDE/>
              <w:autoSpaceDN/>
              <w:bidi w:val="0"/>
              <w:adjustRightInd/>
              <w:snapToGrid/>
              <w:spacing w:line="320" w:lineRule="exact"/>
              <w:jc w:val="left"/>
              <w:textAlignment w:val="auto"/>
              <w:rPr>
                <w:sz w:val="21"/>
                <w:szCs w:val="24"/>
              </w:rPr>
            </w:pPr>
          </w:p>
        </w:tc>
      </w:tr>
    </w:tbl>
    <w:p w14:paraId="1D113CAB"/>
    <w:tbl>
      <w:tblPr>
        <w:tblStyle w:val="9"/>
        <w:tblW w:w="147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0"/>
        <w:gridCol w:w="982"/>
        <w:gridCol w:w="1022"/>
        <w:gridCol w:w="420"/>
        <w:gridCol w:w="1009"/>
        <w:gridCol w:w="2821"/>
        <w:gridCol w:w="1679"/>
        <w:gridCol w:w="4928"/>
        <w:gridCol w:w="1415"/>
      </w:tblGrid>
      <w:tr w14:paraId="6690A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tblHeader/>
          <w:jc w:val="center"/>
        </w:trPr>
        <w:tc>
          <w:tcPr>
            <w:tcW w:w="500" w:type="dxa"/>
            <w:noWrap w:val="0"/>
            <w:vAlign w:val="center"/>
          </w:tcPr>
          <w:p w14:paraId="5E3395B4">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lang w:val="en-US" w:eastAsia="zh-CN"/>
              </w:rPr>
            </w:pPr>
            <w:r>
              <w:rPr>
                <w:rFonts w:hint="eastAsia" w:ascii="方正黑体_GBK" w:hAnsi="方正黑体_GBK" w:eastAsia="方正黑体_GBK" w:cs="方正黑体_GBK"/>
                <w:w w:val="90"/>
                <w:sz w:val="28"/>
                <w:szCs w:val="36"/>
              </w:rPr>
              <w:t>序号</w:t>
            </w:r>
          </w:p>
        </w:tc>
        <w:tc>
          <w:tcPr>
            <w:tcW w:w="982" w:type="dxa"/>
            <w:noWrap w:val="0"/>
            <w:vAlign w:val="center"/>
          </w:tcPr>
          <w:p w14:paraId="0F9ED686">
            <w:pPr>
              <w:keepNext w:val="0"/>
              <w:keepLines w:val="0"/>
              <w:pageBreakBefore w:val="0"/>
              <w:widowControl w:val="0"/>
              <w:kinsoku/>
              <w:wordWrap/>
              <w:overflowPunct/>
              <w:topLinePunct w:val="0"/>
              <w:autoSpaceDE/>
              <w:autoSpaceDN/>
              <w:bidi w:val="0"/>
              <w:adjustRightInd/>
              <w:snapToGrid/>
              <w:spacing w:line="320" w:lineRule="exact"/>
              <w:jc w:val="left"/>
              <w:textAlignment w:val="auto"/>
              <w:rPr>
                <w:sz w:val="21"/>
                <w:szCs w:val="24"/>
              </w:rPr>
            </w:pPr>
            <w:r>
              <w:rPr>
                <w:rFonts w:hint="eastAsia" w:ascii="方正黑体_GBK" w:hAnsi="方正黑体_GBK" w:eastAsia="方正黑体_GBK" w:cs="方正黑体_GBK"/>
                <w:w w:val="90"/>
                <w:sz w:val="28"/>
                <w:szCs w:val="36"/>
              </w:rPr>
              <w:t>价格管理类型</w:t>
            </w:r>
          </w:p>
        </w:tc>
        <w:tc>
          <w:tcPr>
            <w:tcW w:w="2451" w:type="dxa"/>
            <w:gridSpan w:val="3"/>
            <w:noWrap w:val="0"/>
            <w:vAlign w:val="center"/>
          </w:tcPr>
          <w:p w14:paraId="01319FB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方正黑体_GBK" w:hAnsi="方正黑体_GBK" w:eastAsia="方正黑体_GBK" w:cs="方正黑体_GBK"/>
                <w:w w:val="90"/>
                <w:sz w:val="28"/>
                <w:szCs w:val="36"/>
              </w:rPr>
              <w:t>服务项目</w:t>
            </w:r>
          </w:p>
        </w:tc>
        <w:tc>
          <w:tcPr>
            <w:tcW w:w="2821" w:type="dxa"/>
            <w:noWrap w:val="0"/>
            <w:vAlign w:val="center"/>
          </w:tcPr>
          <w:p w14:paraId="4735A8B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方正黑体_GBK" w:hAnsi="方正黑体_GBK" w:eastAsia="方正黑体_GBK" w:cs="方正黑体_GBK"/>
                <w:w w:val="90"/>
                <w:sz w:val="28"/>
                <w:szCs w:val="36"/>
              </w:rPr>
              <w:t>服务内容</w:t>
            </w:r>
          </w:p>
        </w:tc>
        <w:tc>
          <w:tcPr>
            <w:tcW w:w="1679" w:type="dxa"/>
            <w:noWrap w:val="0"/>
            <w:vAlign w:val="center"/>
          </w:tcPr>
          <w:p w14:paraId="2FABB37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方正黑体_GBK" w:hAnsi="方正黑体_GBK" w:eastAsia="方正黑体_GBK" w:cs="方正黑体_GBK"/>
                <w:w w:val="90"/>
                <w:sz w:val="28"/>
                <w:szCs w:val="36"/>
                <w:lang w:eastAsia="zh-CN"/>
              </w:rPr>
              <w:t>计价单位</w:t>
            </w:r>
          </w:p>
        </w:tc>
        <w:tc>
          <w:tcPr>
            <w:tcW w:w="4928" w:type="dxa"/>
            <w:noWrap w:val="0"/>
            <w:vAlign w:val="center"/>
          </w:tcPr>
          <w:p w14:paraId="0CB3268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方正黑体_GBK" w:hAnsi="方正黑体_GBK" w:eastAsia="方正黑体_GBK" w:cs="方正黑体_GBK"/>
                <w:w w:val="90"/>
                <w:sz w:val="28"/>
                <w:szCs w:val="36"/>
                <w:lang w:eastAsia="zh-CN"/>
              </w:rPr>
              <w:t>收费标准参考区间</w:t>
            </w:r>
          </w:p>
        </w:tc>
        <w:tc>
          <w:tcPr>
            <w:tcW w:w="1415" w:type="dxa"/>
            <w:noWrap w:val="0"/>
            <w:vAlign w:val="center"/>
          </w:tcPr>
          <w:p w14:paraId="333E3E9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sz w:val="21"/>
                <w:szCs w:val="24"/>
              </w:rPr>
            </w:pPr>
            <w:r>
              <w:rPr>
                <w:rFonts w:hint="eastAsia" w:ascii="方正黑体_GBK" w:hAnsi="方正黑体_GBK" w:eastAsia="方正黑体_GBK" w:cs="方正黑体_GBK"/>
                <w:w w:val="90"/>
                <w:sz w:val="28"/>
                <w:szCs w:val="36"/>
                <w:lang w:eastAsia="zh-CN"/>
              </w:rPr>
              <w:t>备注</w:t>
            </w:r>
          </w:p>
        </w:tc>
      </w:tr>
      <w:tr w14:paraId="5CB0A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5" w:hRule="atLeast"/>
          <w:tblHeader/>
          <w:jc w:val="center"/>
        </w:trPr>
        <w:tc>
          <w:tcPr>
            <w:tcW w:w="500" w:type="dxa"/>
            <w:vMerge w:val="restart"/>
            <w:noWrap w:val="0"/>
            <w:vAlign w:val="center"/>
          </w:tcPr>
          <w:p w14:paraId="3B3F1726">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仿宋_GB2312" w:hAnsi="方正仿宋_GBK" w:eastAsia="仿宋_GB2312" w:cs="方正仿宋_GBK"/>
                <w:w w:val="90"/>
                <w:sz w:val="28"/>
                <w:szCs w:val="28"/>
                <w:lang w:val="en-US" w:eastAsia="zh-CN"/>
              </w:rPr>
            </w:pPr>
            <w:r>
              <w:rPr>
                <w:rFonts w:hint="eastAsia" w:ascii="仿宋_GB2312" w:hAnsi="方正仿宋_GBK" w:eastAsia="仿宋_GB2312" w:cs="方正仿宋_GBK"/>
                <w:w w:val="90"/>
                <w:sz w:val="28"/>
                <w:szCs w:val="28"/>
                <w:lang w:val="en-US" w:eastAsia="zh-CN"/>
              </w:rPr>
              <w:t>22</w:t>
            </w:r>
          </w:p>
        </w:tc>
        <w:tc>
          <w:tcPr>
            <w:tcW w:w="982" w:type="dxa"/>
            <w:vMerge w:val="restart"/>
            <w:noWrap w:val="0"/>
            <w:vAlign w:val="center"/>
          </w:tcPr>
          <w:p w14:paraId="6499AEB5">
            <w:pPr>
              <w:keepNext w:val="0"/>
              <w:keepLines w:val="0"/>
              <w:pageBreakBefore w:val="0"/>
              <w:widowControl w:val="0"/>
              <w:kinsoku/>
              <w:wordWrap/>
              <w:overflowPunct/>
              <w:topLinePunct w:val="0"/>
              <w:autoSpaceDE/>
              <w:autoSpaceDN/>
              <w:bidi w:val="0"/>
              <w:adjustRightInd/>
              <w:snapToGrid/>
              <w:spacing w:line="320" w:lineRule="exact"/>
              <w:jc w:val="left"/>
              <w:textAlignment w:val="auto"/>
              <w:rPr>
                <w:sz w:val="21"/>
                <w:szCs w:val="24"/>
              </w:rPr>
            </w:pPr>
            <w:r>
              <w:rPr>
                <w:rFonts w:hint="eastAsia" w:ascii="方正黑体_GBK" w:hAnsi="方正黑体_GBK" w:eastAsia="方正黑体_GBK" w:cs="方正黑体_GBK"/>
                <w:w w:val="90"/>
                <w:sz w:val="24"/>
                <w:szCs w:val="32"/>
                <w:lang w:eastAsia="zh-CN"/>
              </w:rPr>
              <w:t>非基础项目：市场调节价（</w:t>
            </w:r>
            <w:r>
              <w:rPr>
                <w:rFonts w:hint="eastAsia" w:ascii="方正黑体_GBK" w:hAnsi="方正黑体_GBK" w:eastAsia="方正黑体_GBK" w:cs="方正黑体_GBK"/>
                <w:w w:val="90"/>
                <w:sz w:val="24"/>
                <w:szCs w:val="32"/>
                <w:lang w:val="en-US" w:eastAsia="zh-CN"/>
              </w:rPr>
              <w:t>2项</w:t>
            </w:r>
            <w:r>
              <w:rPr>
                <w:rFonts w:hint="eastAsia" w:ascii="方正黑体_GBK" w:hAnsi="方正黑体_GBK" w:eastAsia="方正黑体_GBK" w:cs="方正黑体_GBK"/>
                <w:w w:val="90"/>
                <w:sz w:val="24"/>
                <w:szCs w:val="32"/>
                <w:lang w:eastAsia="zh-CN"/>
              </w:rPr>
              <w:t>）</w:t>
            </w:r>
          </w:p>
        </w:tc>
        <w:tc>
          <w:tcPr>
            <w:tcW w:w="1442" w:type="dxa"/>
            <w:gridSpan w:val="2"/>
            <w:vMerge w:val="restart"/>
            <w:noWrap w:val="0"/>
            <w:vAlign w:val="center"/>
          </w:tcPr>
          <w:p w14:paraId="4C445C7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文明殡葬用品租（售）清单</w:t>
            </w:r>
          </w:p>
        </w:tc>
        <w:tc>
          <w:tcPr>
            <w:tcW w:w="1009" w:type="dxa"/>
            <w:noWrap w:val="0"/>
            <w:vAlign w:val="center"/>
          </w:tcPr>
          <w:p w14:paraId="588ADDA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1.文明棺</w:t>
            </w:r>
          </w:p>
        </w:tc>
        <w:tc>
          <w:tcPr>
            <w:tcW w:w="2821" w:type="dxa"/>
            <w:noWrap w:val="0"/>
            <w:vAlign w:val="center"/>
          </w:tcPr>
          <w:p w14:paraId="46D242C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纸棺，品类（价格）不超过5种</w:t>
            </w:r>
          </w:p>
        </w:tc>
        <w:tc>
          <w:tcPr>
            <w:tcW w:w="1679" w:type="dxa"/>
            <w:noWrap w:val="0"/>
            <w:vAlign w:val="center"/>
          </w:tcPr>
          <w:p w14:paraId="21A5AEA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方正仿宋_GBK" w:eastAsia="仿宋_GB2312" w:cs="方正仿宋_GBK"/>
                <w:w w:val="90"/>
                <w:sz w:val="28"/>
                <w:szCs w:val="28"/>
                <w:lang w:val="en-US" w:eastAsia="zh-CN"/>
              </w:rPr>
            </w:pPr>
            <w:r>
              <w:rPr>
                <w:rFonts w:hint="eastAsia" w:ascii="仿宋_GB2312" w:hAnsi="方正仿宋_GBK" w:eastAsia="仿宋_GB2312" w:cs="方正仿宋_GBK"/>
                <w:w w:val="90"/>
                <w:sz w:val="28"/>
                <w:szCs w:val="28"/>
                <w:lang w:eastAsia="zh-CN"/>
              </w:rPr>
              <w:t>元</w:t>
            </w:r>
            <w:r>
              <w:rPr>
                <w:rFonts w:hint="eastAsia" w:ascii="仿宋_GB2312" w:hAnsi="方正仿宋_GBK" w:eastAsia="仿宋_GB2312" w:cs="方正仿宋_GBK"/>
                <w:w w:val="90"/>
                <w:sz w:val="28"/>
                <w:szCs w:val="28"/>
                <w:lang w:val="en-US" w:eastAsia="zh-CN"/>
              </w:rPr>
              <w:t>/个</w:t>
            </w:r>
          </w:p>
        </w:tc>
        <w:tc>
          <w:tcPr>
            <w:tcW w:w="4928" w:type="dxa"/>
            <w:noWrap w:val="0"/>
            <w:vAlign w:val="center"/>
          </w:tcPr>
          <w:p w14:paraId="3944E10E">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条件1.收费标准参考区间为进销差率不超过25%〔进销差率=（销价-进价）/销价*100%〕；</w:t>
            </w:r>
          </w:p>
          <w:p w14:paraId="791E9345">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条件2.收费标准参考区间上限为1000元/副。以上2个条件按就低原则确定具体上限。</w:t>
            </w:r>
          </w:p>
        </w:tc>
        <w:tc>
          <w:tcPr>
            <w:tcW w:w="1415" w:type="dxa"/>
            <w:vMerge w:val="restart"/>
            <w:noWrap w:val="0"/>
            <w:vAlign w:val="center"/>
          </w:tcPr>
          <w:p w14:paraId="08DC2A49">
            <w:pPr>
              <w:keepNext w:val="0"/>
              <w:keepLines w:val="0"/>
              <w:pageBreakBefore w:val="0"/>
              <w:widowControl w:val="0"/>
              <w:kinsoku/>
              <w:wordWrap/>
              <w:overflowPunct/>
              <w:topLinePunct w:val="0"/>
              <w:autoSpaceDE/>
              <w:autoSpaceDN/>
              <w:bidi w:val="0"/>
              <w:adjustRightInd/>
              <w:snapToGrid/>
              <w:spacing w:line="320" w:lineRule="exact"/>
              <w:jc w:val="left"/>
              <w:textAlignment w:val="auto"/>
              <w:rPr>
                <w:sz w:val="21"/>
                <w:szCs w:val="24"/>
              </w:rPr>
            </w:pPr>
          </w:p>
        </w:tc>
      </w:tr>
      <w:tr w14:paraId="4D3E3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9" w:hRule="atLeast"/>
          <w:tblHeader/>
          <w:jc w:val="center"/>
        </w:trPr>
        <w:tc>
          <w:tcPr>
            <w:tcW w:w="500" w:type="dxa"/>
            <w:vMerge w:val="continue"/>
            <w:noWrap w:val="0"/>
            <w:vAlign w:val="center"/>
          </w:tcPr>
          <w:p w14:paraId="30EF2462">
            <w:pPr>
              <w:keepNext w:val="0"/>
              <w:keepLines w:val="0"/>
              <w:pageBreakBefore w:val="0"/>
              <w:widowControl w:val="0"/>
              <w:kinsoku/>
              <w:wordWrap/>
              <w:overflowPunct/>
              <w:topLinePunct w:val="0"/>
              <w:autoSpaceDE/>
              <w:autoSpaceDN/>
              <w:bidi w:val="0"/>
              <w:adjustRightInd/>
              <w:snapToGrid/>
              <w:spacing w:line="320" w:lineRule="exact"/>
              <w:jc w:val="center"/>
              <w:textAlignment w:val="auto"/>
            </w:pPr>
          </w:p>
        </w:tc>
        <w:tc>
          <w:tcPr>
            <w:tcW w:w="982" w:type="dxa"/>
            <w:vMerge w:val="continue"/>
            <w:noWrap w:val="0"/>
            <w:vAlign w:val="center"/>
          </w:tcPr>
          <w:p w14:paraId="0470B211">
            <w:pPr>
              <w:keepNext w:val="0"/>
              <w:keepLines w:val="0"/>
              <w:pageBreakBefore w:val="0"/>
              <w:widowControl w:val="0"/>
              <w:kinsoku/>
              <w:wordWrap/>
              <w:overflowPunct/>
              <w:topLinePunct w:val="0"/>
              <w:autoSpaceDE/>
              <w:autoSpaceDN/>
              <w:bidi w:val="0"/>
              <w:adjustRightInd/>
              <w:snapToGrid/>
              <w:spacing w:line="320" w:lineRule="exact"/>
              <w:jc w:val="center"/>
              <w:textAlignment w:val="auto"/>
            </w:pPr>
          </w:p>
        </w:tc>
        <w:tc>
          <w:tcPr>
            <w:tcW w:w="1442" w:type="dxa"/>
            <w:gridSpan w:val="2"/>
            <w:vMerge w:val="continue"/>
            <w:noWrap w:val="0"/>
            <w:vAlign w:val="center"/>
          </w:tcPr>
          <w:p w14:paraId="6B73D0E5">
            <w:pPr>
              <w:keepNext w:val="0"/>
              <w:keepLines w:val="0"/>
              <w:pageBreakBefore w:val="0"/>
              <w:widowControl w:val="0"/>
              <w:kinsoku/>
              <w:wordWrap/>
              <w:overflowPunct/>
              <w:topLinePunct w:val="0"/>
              <w:autoSpaceDE/>
              <w:autoSpaceDN/>
              <w:bidi w:val="0"/>
              <w:adjustRightInd/>
              <w:snapToGrid/>
              <w:spacing w:line="320" w:lineRule="exact"/>
              <w:jc w:val="center"/>
              <w:textAlignment w:val="auto"/>
            </w:pPr>
          </w:p>
        </w:tc>
        <w:tc>
          <w:tcPr>
            <w:tcW w:w="1009" w:type="dxa"/>
            <w:noWrap w:val="0"/>
            <w:vAlign w:val="center"/>
          </w:tcPr>
          <w:p w14:paraId="18CB862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2.寿衣</w:t>
            </w:r>
          </w:p>
        </w:tc>
        <w:tc>
          <w:tcPr>
            <w:tcW w:w="2821" w:type="dxa"/>
            <w:noWrap w:val="0"/>
            <w:vAlign w:val="center"/>
          </w:tcPr>
          <w:p w14:paraId="23C7E7B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寿衣，品类（价格）不超过5种</w:t>
            </w:r>
          </w:p>
        </w:tc>
        <w:tc>
          <w:tcPr>
            <w:tcW w:w="1679" w:type="dxa"/>
            <w:noWrap w:val="0"/>
            <w:vAlign w:val="center"/>
          </w:tcPr>
          <w:p w14:paraId="706A05A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元/套</w:t>
            </w:r>
          </w:p>
        </w:tc>
        <w:tc>
          <w:tcPr>
            <w:tcW w:w="4928" w:type="dxa"/>
            <w:noWrap w:val="0"/>
            <w:vAlign w:val="center"/>
          </w:tcPr>
          <w:p w14:paraId="01662501">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条件1.收费标准参考区间为进销差率不超过25%〔进销差率=（销价-进价）/销价*100%〕；</w:t>
            </w:r>
          </w:p>
          <w:p w14:paraId="14C16866">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条件2.收费标准参考区间上限为1000元/副。以上2个条件按就低原则确定具体上限。</w:t>
            </w:r>
          </w:p>
        </w:tc>
        <w:tc>
          <w:tcPr>
            <w:tcW w:w="1415" w:type="dxa"/>
            <w:vMerge w:val="continue"/>
            <w:noWrap w:val="0"/>
            <w:vAlign w:val="center"/>
          </w:tcPr>
          <w:p w14:paraId="45B7C1B9">
            <w:pPr>
              <w:keepNext w:val="0"/>
              <w:keepLines w:val="0"/>
              <w:pageBreakBefore w:val="0"/>
              <w:widowControl w:val="0"/>
              <w:kinsoku/>
              <w:wordWrap/>
              <w:overflowPunct/>
              <w:topLinePunct w:val="0"/>
              <w:autoSpaceDE/>
              <w:autoSpaceDN/>
              <w:bidi w:val="0"/>
              <w:adjustRightInd/>
              <w:snapToGrid/>
              <w:spacing w:line="320" w:lineRule="exact"/>
              <w:jc w:val="center"/>
              <w:textAlignment w:val="auto"/>
            </w:pPr>
          </w:p>
        </w:tc>
      </w:tr>
      <w:tr w14:paraId="4E5F4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4" w:hRule="atLeast"/>
          <w:tblHeader/>
          <w:jc w:val="center"/>
        </w:trPr>
        <w:tc>
          <w:tcPr>
            <w:tcW w:w="500" w:type="dxa"/>
            <w:vMerge w:val="continue"/>
            <w:noWrap w:val="0"/>
            <w:vAlign w:val="center"/>
          </w:tcPr>
          <w:p w14:paraId="563AB6FB">
            <w:pPr>
              <w:keepNext w:val="0"/>
              <w:keepLines w:val="0"/>
              <w:pageBreakBefore w:val="0"/>
              <w:widowControl w:val="0"/>
              <w:kinsoku/>
              <w:wordWrap/>
              <w:overflowPunct/>
              <w:topLinePunct w:val="0"/>
              <w:autoSpaceDE/>
              <w:autoSpaceDN/>
              <w:bidi w:val="0"/>
              <w:adjustRightInd/>
              <w:snapToGrid/>
              <w:spacing w:line="320" w:lineRule="exact"/>
              <w:jc w:val="center"/>
              <w:textAlignment w:val="auto"/>
            </w:pPr>
          </w:p>
        </w:tc>
        <w:tc>
          <w:tcPr>
            <w:tcW w:w="982" w:type="dxa"/>
            <w:vMerge w:val="continue"/>
            <w:noWrap w:val="0"/>
            <w:vAlign w:val="center"/>
          </w:tcPr>
          <w:p w14:paraId="0186F699">
            <w:pPr>
              <w:keepNext w:val="0"/>
              <w:keepLines w:val="0"/>
              <w:pageBreakBefore w:val="0"/>
              <w:widowControl w:val="0"/>
              <w:kinsoku/>
              <w:wordWrap/>
              <w:overflowPunct/>
              <w:topLinePunct w:val="0"/>
              <w:autoSpaceDE/>
              <w:autoSpaceDN/>
              <w:bidi w:val="0"/>
              <w:adjustRightInd/>
              <w:snapToGrid/>
              <w:spacing w:line="320" w:lineRule="exact"/>
              <w:jc w:val="center"/>
              <w:textAlignment w:val="auto"/>
            </w:pPr>
          </w:p>
        </w:tc>
        <w:tc>
          <w:tcPr>
            <w:tcW w:w="1442" w:type="dxa"/>
            <w:gridSpan w:val="2"/>
            <w:vMerge w:val="continue"/>
            <w:noWrap w:val="0"/>
            <w:vAlign w:val="center"/>
          </w:tcPr>
          <w:p w14:paraId="19E547EE">
            <w:pPr>
              <w:keepNext w:val="0"/>
              <w:keepLines w:val="0"/>
              <w:pageBreakBefore w:val="0"/>
              <w:widowControl w:val="0"/>
              <w:kinsoku/>
              <w:wordWrap/>
              <w:overflowPunct/>
              <w:topLinePunct w:val="0"/>
              <w:autoSpaceDE/>
              <w:autoSpaceDN/>
              <w:bidi w:val="0"/>
              <w:adjustRightInd/>
              <w:snapToGrid/>
              <w:spacing w:line="320" w:lineRule="exact"/>
              <w:jc w:val="center"/>
              <w:textAlignment w:val="auto"/>
            </w:pPr>
          </w:p>
        </w:tc>
        <w:tc>
          <w:tcPr>
            <w:tcW w:w="1009" w:type="dxa"/>
            <w:noWrap w:val="0"/>
            <w:vAlign w:val="center"/>
          </w:tcPr>
          <w:p w14:paraId="7A51728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3.鲜花伴遗体</w:t>
            </w:r>
          </w:p>
        </w:tc>
        <w:tc>
          <w:tcPr>
            <w:tcW w:w="2821" w:type="dxa"/>
            <w:noWrap w:val="0"/>
            <w:vAlign w:val="center"/>
          </w:tcPr>
          <w:p w14:paraId="06CF13B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品类（价格）不超过3种，可分高、中、低档3种价格。</w:t>
            </w:r>
          </w:p>
        </w:tc>
        <w:tc>
          <w:tcPr>
            <w:tcW w:w="1679" w:type="dxa"/>
            <w:noWrap w:val="0"/>
            <w:vAlign w:val="center"/>
          </w:tcPr>
          <w:p w14:paraId="434205E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元/套</w:t>
            </w:r>
          </w:p>
        </w:tc>
        <w:tc>
          <w:tcPr>
            <w:tcW w:w="4928" w:type="dxa"/>
            <w:noWrap w:val="0"/>
            <w:vAlign w:val="center"/>
          </w:tcPr>
          <w:p w14:paraId="0FE96F5F">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条件1.收费标准参考区间为进销差率不超过25%〔进销差率=（销价-进价）/销价*100%〕；</w:t>
            </w:r>
          </w:p>
          <w:p w14:paraId="0EB53C73">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条件2.收费标准参考区间上限为1000元/副。以上2个条件按就低原则确定具体上限。</w:t>
            </w:r>
          </w:p>
        </w:tc>
        <w:tc>
          <w:tcPr>
            <w:tcW w:w="1415" w:type="dxa"/>
            <w:vMerge w:val="continue"/>
            <w:noWrap w:val="0"/>
            <w:vAlign w:val="center"/>
          </w:tcPr>
          <w:p w14:paraId="36D97C19">
            <w:pPr>
              <w:keepNext w:val="0"/>
              <w:keepLines w:val="0"/>
              <w:pageBreakBefore w:val="0"/>
              <w:widowControl w:val="0"/>
              <w:kinsoku/>
              <w:wordWrap/>
              <w:overflowPunct/>
              <w:topLinePunct w:val="0"/>
              <w:autoSpaceDE/>
              <w:autoSpaceDN/>
              <w:bidi w:val="0"/>
              <w:adjustRightInd/>
              <w:snapToGrid/>
              <w:spacing w:line="320" w:lineRule="exact"/>
              <w:jc w:val="center"/>
              <w:textAlignment w:val="auto"/>
            </w:pPr>
          </w:p>
        </w:tc>
      </w:tr>
      <w:tr w14:paraId="61247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2" w:hRule="atLeast"/>
          <w:tblHeader/>
          <w:jc w:val="center"/>
        </w:trPr>
        <w:tc>
          <w:tcPr>
            <w:tcW w:w="500" w:type="dxa"/>
            <w:vMerge w:val="continue"/>
            <w:noWrap w:val="0"/>
            <w:vAlign w:val="center"/>
          </w:tcPr>
          <w:p w14:paraId="2D722702">
            <w:pPr>
              <w:keepNext w:val="0"/>
              <w:keepLines w:val="0"/>
              <w:pageBreakBefore w:val="0"/>
              <w:widowControl w:val="0"/>
              <w:kinsoku/>
              <w:wordWrap/>
              <w:overflowPunct/>
              <w:topLinePunct w:val="0"/>
              <w:autoSpaceDE/>
              <w:autoSpaceDN/>
              <w:bidi w:val="0"/>
              <w:adjustRightInd/>
              <w:snapToGrid/>
              <w:spacing w:line="320" w:lineRule="exact"/>
              <w:jc w:val="center"/>
              <w:textAlignment w:val="auto"/>
            </w:pPr>
          </w:p>
        </w:tc>
        <w:tc>
          <w:tcPr>
            <w:tcW w:w="982" w:type="dxa"/>
            <w:vMerge w:val="continue"/>
            <w:noWrap w:val="0"/>
            <w:vAlign w:val="center"/>
          </w:tcPr>
          <w:p w14:paraId="08E54E81">
            <w:pPr>
              <w:keepNext w:val="0"/>
              <w:keepLines w:val="0"/>
              <w:pageBreakBefore w:val="0"/>
              <w:widowControl w:val="0"/>
              <w:kinsoku/>
              <w:wordWrap/>
              <w:overflowPunct/>
              <w:topLinePunct w:val="0"/>
              <w:autoSpaceDE/>
              <w:autoSpaceDN/>
              <w:bidi w:val="0"/>
              <w:adjustRightInd/>
              <w:snapToGrid/>
              <w:spacing w:line="320" w:lineRule="exact"/>
              <w:jc w:val="center"/>
              <w:textAlignment w:val="auto"/>
            </w:pPr>
          </w:p>
        </w:tc>
        <w:tc>
          <w:tcPr>
            <w:tcW w:w="1442" w:type="dxa"/>
            <w:gridSpan w:val="2"/>
            <w:vMerge w:val="continue"/>
            <w:noWrap w:val="0"/>
            <w:vAlign w:val="center"/>
          </w:tcPr>
          <w:p w14:paraId="312B9884">
            <w:pPr>
              <w:keepNext w:val="0"/>
              <w:keepLines w:val="0"/>
              <w:pageBreakBefore w:val="0"/>
              <w:widowControl w:val="0"/>
              <w:kinsoku/>
              <w:wordWrap/>
              <w:overflowPunct/>
              <w:topLinePunct w:val="0"/>
              <w:autoSpaceDE/>
              <w:autoSpaceDN/>
              <w:bidi w:val="0"/>
              <w:adjustRightInd/>
              <w:snapToGrid/>
              <w:spacing w:line="320" w:lineRule="exact"/>
              <w:jc w:val="center"/>
              <w:textAlignment w:val="auto"/>
            </w:pPr>
          </w:p>
        </w:tc>
        <w:tc>
          <w:tcPr>
            <w:tcW w:w="1009" w:type="dxa"/>
            <w:noWrap w:val="0"/>
            <w:vAlign w:val="center"/>
          </w:tcPr>
          <w:p w14:paraId="3407CD8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4.鲜花/花篮（租/售）</w:t>
            </w:r>
          </w:p>
        </w:tc>
        <w:tc>
          <w:tcPr>
            <w:tcW w:w="2821" w:type="dxa"/>
            <w:noWrap w:val="0"/>
            <w:vAlign w:val="center"/>
          </w:tcPr>
          <w:p w14:paraId="23F4BD4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品类（价格）不超过3种，可分别制定出售、出租价格。</w:t>
            </w:r>
          </w:p>
        </w:tc>
        <w:tc>
          <w:tcPr>
            <w:tcW w:w="1679" w:type="dxa"/>
            <w:noWrap w:val="0"/>
            <w:vAlign w:val="center"/>
          </w:tcPr>
          <w:p w14:paraId="489F826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元/个</w:t>
            </w:r>
          </w:p>
        </w:tc>
        <w:tc>
          <w:tcPr>
            <w:tcW w:w="4928" w:type="dxa"/>
            <w:noWrap w:val="0"/>
            <w:vAlign w:val="center"/>
          </w:tcPr>
          <w:p w14:paraId="7C6EDF2B">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收费标准参考区间为进销差率不超过25%〔进销差率=（销价-进价）/销价*100%〕</w:t>
            </w:r>
          </w:p>
        </w:tc>
        <w:tc>
          <w:tcPr>
            <w:tcW w:w="1415" w:type="dxa"/>
            <w:vMerge w:val="continue"/>
            <w:noWrap w:val="0"/>
            <w:vAlign w:val="center"/>
          </w:tcPr>
          <w:p w14:paraId="494C6F5A">
            <w:pPr>
              <w:keepNext w:val="0"/>
              <w:keepLines w:val="0"/>
              <w:pageBreakBefore w:val="0"/>
              <w:widowControl w:val="0"/>
              <w:kinsoku/>
              <w:wordWrap/>
              <w:overflowPunct/>
              <w:topLinePunct w:val="0"/>
              <w:autoSpaceDE/>
              <w:autoSpaceDN/>
              <w:bidi w:val="0"/>
              <w:adjustRightInd/>
              <w:snapToGrid/>
              <w:spacing w:line="320" w:lineRule="exact"/>
              <w:jc w:val="center"/>
              <w:textAlignment w:val="auto"/>
            </w:pPr>
          </w:p>
        </w:tc>
      </w:tr>
      <w:tr w14:paraId="18822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blHeader/>
          <w:jc w:val="center"/>
        </w:trPr>
        <w:tc>
          <w:tcPr>
            <w:tcW w:w="500" w:type="dxa"/>
            <w:noWrap w:val="0"/>
            <w:vAlign w:val="center"/>
          </w:tcPr>
          <w:p w14:paraId="670D1E88">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kern w:val="2"/>
                <w:sz w:val="28"/>
                <w:szCs w:val="28"/>
                <w:lang w:val="en-US" w:eastAsia="zh-CN" w:bidi="ar-SA"/>
              </w:rPr>
            </w:pPr>
            <w:r>
              <w:rPr>
                <w:rFonts w:hint="eastAsia" w:ascii="方正黑体_GBK" w:hAnsi="方正黑体_GBK" w:eastAsia="方正黑体_GBK" w:cs="方正黑体_GBK"/>
                <w:w w:val="90"/>
                <w:sz w:val="28"/>
                <w:szCs w:val="36"/>
              </w:rPr>
              <w:t>序号</w:t>
            </w:r>
          </w:p>
        </w:tc>
        <w:tc>
          <w:tcPr>
            <w:tcW w:w="982" w:type="dxa"/>
            <w:noWrap w:val="0"/>
            <w:vAlign w:val="center"/>
          </w:tcPr>
          <w:p w14:paraId="411DCF7F">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ascii="Calibri" w:hAnsi="Calibri" w:eastAsia="宋体" w:cs="Times New Roman"/>
                <w:kern w:val="2"/>
                <w:sz w:val="21"/>
                <w:szCs w:val="24"/>
                <w:lang w:val="en-US" w:eastAsia="zh-CN" w:bidi="ar-SA"/>
              </w:rPr>
            </w:pPr>
            <w:r>
              <w:rPr>
                <w:rFonts w:hint="eastAsia" w:ascii="方正黑体_GBK" w:hAnsi="方正黑体_GBK" w:eastAsia="方正黑体_GBK" w:cs="方正黑体_GBK"/>
                <w:w w:val="90"/>
                <w:sz w:val="28"/>
                <w:szCs w:val="36"/>
              </w:rPr>
              <w:t>价格管理类型</w:t>
            </w:r>
          </w:p>
        </w:tc>
        <w:tc>
          <w:tcPr>
            <w:tcW w:w="2451" w:type="dxa"/>
            <w:gridSpan w:val="3"/>
            <w:noWrap w:val="0"/>
            <w:vAlign w:val="center"/>
          </w:tcPr>
          <w:p w14:paraId="46F4037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kern w:val="2"/>
                <w:sz w:val="28"/>
                <w:szCs w:val="28"/>
                <w:lang w:val="en-US" w:eastAsia="zh-CN" w:bidi="ar-SA"/>
              </w:rPr>
            </w:pPr>
            <w:r>
              <w:rPr>
                <w:rFonts w:hint="eastAsia" w:ascii="方正黑体_GBK" w:hAnsi="方正黑体_GBK" w:eastAsia="方正黑体_GBK" w:cs="方正黑体_GBK"/>
                <w:w w:val="90"/>
                <w:sz w:val="28"/>
                <w:szCs w:val="36"/>
              </w:rPr>
              <w:t>服务项目</w:t>
            </w:r>
          </w:p>
        </w:tc>
        <w:tc>
          <w:tcPr>
            <w:tcW w:w="2821" w:type="dxa"/>
            <w:noWrap w:val="0"/>
            <w:vAlign w:val="center"/>
          </w:tcPr>
          <w:p w14:paraId="02B29C7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kern w:val="2"/>
                <w:sz w:val="28"/>
                <w:szCs w:val="28"/>
                <w:lang w:val="en-US" w:eastAsia="zh-CN" w:bidi="ar-SA"/>
              </w:rPr>
            </w:pPr>
            <w:r>
              <w:rPr>
                <w:rFonts w:hint="eastAsia" w:ascii="方正黑体_GBK" w:hAnsi="方正黑体_GBK" w:eastAsia="方正黑体_GBK" w:cs="方正黑体_GBK"/>
                <w:w w:val="90"/>
                <w:sz w:val="28"/>
                <w:szCs w:val="36"/>
              </w:rPr>
              <w:t>服务内容</w:t>
            </w:r>
          </w:p>
        </w:tc>
        <w:tc>
          <w:tcPr>
            <w:tcW w:w="1679" w:type="dxa"/>
            <w:noWrap w:val="0"/>
            <w:vAlign w:val="center"/>
          </w:tcPr>
          <w:p w14:paraId="1B7E88D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kern w:val="2"/>
                <w:sz w:val="28"/>
                <w:szCs w:val="28"/>
                <w:lang w:val="en-US" w:eastAsia="zh-CN" w:bidi="ar-SA"/>
              </w:rPr>
            </w:pPr>
            <w:r>
              <w:rPr>
                <w:rFonts w:hint="eastAsia" w:ascii="方正黑体_GBK" w:hAnsi="方正黑体_GBK" w:eastAsia="方正黑体_GBK" w:cs="方正黑体_GBK"/>
                <w:w w:val="90"/>
                <w:sz w:val="28"/>
                <w:szCs w:val="36"/>
                <w:lang w:eastAsia="zh-CN"/>
              </w:rPr>
              <w:t>计价单位</w:t>
            </w:r>
          </w:p>
        </w:tc>
        <w:tc>
          <w:tcPr>
            <w:tcW w:w="4928" w:type="dxa"/>
            <w:noWrap w:val="0"/>
            <w:vAlign w:val="center"/>
          </w:tcPr>
          <w:p w14:paraId="25B9D27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kern w:val="2"/>
                <w:sz w:val="28"/>
                <w:szCs w:val="28"/>
                <w:lang w:val="en-US" w:eastAsia="zh-CN" w:bidi="ar-SA"/>
              </w:rPr>
            </w:pPr>
            <w:r>
              <w:rPr>
                <w:rFonts w:hint="eastAsia" w:ascii="方正黑体_GBK" w:hAnsi="方正黑体_GBK" w:eastAsia="方正黑体_GBK" w:cs="方正黑体_GBK"/>
                <w:w w:val="90"/>
                <w:sz w:val="28"/>
                <w:szCs w:val="36"/>
                <w:lang w:eastAsia="zh-CN"/>
              </w:rPr>
              <w:t>收费标准参考区间</w:t>
            </w:r>
          </w:p>
        </w:tc>
        <w:tc>
          <w:tcPr>
            <w:tcW w:w="1415" w:type="dxa"/>
            <w:noWrap w:val="0"/>
            <w:vAlign w:val="center"/>
          </w:tcPr>
          <w:p w14:paraId="2E31DE4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Calibri" w:hAnsi="Calibri" w:eastAsia="宋体" w:cs="Times New Roman"/>
                <w:kern w:val="2"/>
                <w:sz w:val="21"/>
                <w:szCs w:val="24"/>
                <w:lang w:val="en-US" w:eastAsia="zh-CN" w:bidi="ar-SA"/>
              </w:rPr>
            </w:pPr>
            <w:r>
              <w:rPr>
                <w:rFonts w:hint="eastAsia" w:ascii="方正黑体_GBK" w:hAnsi="方正黑体_GBK" w:eastAsia="方正黑体_GBK" w:cs="方正黑体_GBK"/>
                <w:w w:val="90"/>
                <w:sz w:val="28"/>
                <w:szCs w:val="36"/>
                <w:lang w:eastAsia="zh-CN"/>
              </w:rPr>
              <w:t>备注</w:t>
            </w:r>
          </w:p>
        </w:tc>
      </w:tr>
      <w:tr w14:paraId="0FFDF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blHeader/>
          <w:jc w:val="center"/>
        </w:trPr>
        <w:tc>
          <w:tcPr>
            <w:tcW w:w="500" w:type="dxa"/>
            <w:vMerge w:val="restart"/>
            <w:noWrap w:val="0"/>
            <w:vAlign w:val="center"/>
          </w:tcPr>
          <w:p w14:paraId="3ADA20E9">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仿宋_GB2312" w:hAnsi="方正仿宋_GBK" w:eastAsia="仿宋_GB2312" w:cs="方正仿宋_GBK"/>
                <w:w w:val="90"/>
                <w:sz w:val="28"/>
                <w:szCs w:val="28"/>
                <w:lang w:val="en-US" w:eastAsia="zh-CN"/>
              </w:rPr>
            </w:pPr>
            <w:r>
              <w:rPr>
                <w:rFonts w:hint="eastAsia" w:ascii="仿宋_GB2312" w:hAnsi="方正仿宋_GBK" w:eastAsia="仿宋_GB2312" w:cs="方正仿宋_GBK"/>
                <w:w w:val="90"/>
                <w:sz w:val="28"/>
                <w:szCs w:val="28"/>
                <w:lang w:val="en-US" w:eastAsia="zh-CN"/>
              </w:rPr>
              <w:t>22</w:t>
            </w:r>
          </w:p>
        </w:tc>
        <w:tc>
          <w:tcPr>
            <w:tcW w:w="982" w:type="dxa"/>
            <w:vMerge w:val="restart"/>
            <w:noWrap w:val="0"/>
            <w:vAlign w:val="center"/>
          </w:tcPr>
          <w:p w14:paraId="354BAA8D">
            <w:pPr>
              <w:keepNext w:val="0"/>
              <w:keepLines w:val="0"/>
              <w:pageBreakBefore w:val="0"/>
              <w:widowControl w:val="0"/>
              <w:kinsoku/>
              <w:wordWrap/>
              <w:overflowPunct/>
              <w:topLinePunct w:val="0"/>
              <w:autoSpaceDE/>
              <w:autoSpaceDN/>
              <w:bidi w:val="0"/>
              <w:adjustRightInd/>
              <w:snapToGrid/>
              <w:spacing w:line="320" w:lineRule="exact"/>
              <w:jc w:val="left"/>
              <w:textAlignment w:val="auto"/>
              <w:rPr>
                <w:sz w:val="21"/>
                <w:szCs w:val="24"/>
              </w:rPr>
            </w:pPr>
            <w:r>
              <w:rPr>
                <w:rFonts w:hint="eastAsia" w:ascii="方正黑体_GBK" w:hAnsi="方正黑体_GBK" w:eastAsia="方正黑体_GBK" w:cs="方正黑体_GBK"/>
                <w:w w:val="90"/>
                <w:sz w:val="24"/>
                <w:szCs w:val="32"/>
                <w:lang w:eastAsia="zh-CN"/>
              </w:rPr>
              <w:t>非基础项目：市场调节价（</w:t>
            </w:r>
            <w:r>
              <w:rPr>
                <w:rFonts w:hint="eastAsia" w:ascii="方正黑体_GBK" w:hAnsi="方正黑体_GBK" w:eastAsia="方正黑体_GBK" w:cs="方正黑体_GBK"/>
                <w:w w:val="90"/>
                <w:sz w:val="24"/>
                <w:szCs w:val="32"/>
                <w:lang w:val="en-US" w:eastAsia="zh-CN"/>
              </w:rPr>
              <w:t>2项</w:t>
            </w:r>
            <w:r>
              <w:rPr>
                <w:rFonts w:hint="eastAsia" w:ascii="方正黑体_GBK" w:hAnsi="方正黑体_GBK" w:eastAsia="方正黑体_GBK" w:cs="方正黑体_GBK"/>
                <w:w w:val="90"/>
                <w:sz w:val="24"/>
                <w:szCs w:val="32"/>
                <w:lang w:eastAsia="zh-CN"/>
              </w:rPr>
              <w:t>）</w:t>
            </w:r>
          </w:p>
        </w:tc>
        <w:tc>
          <w:tcPr>
            <w:tcW w:w="1442" w:type="dxa"/>
            <w:gridSpan w:val="2"/>
            <w:vMerge w:val="restart"/>
            <w:noWrap w:val="0"/>
            <w:vAlign w:val="center"/>
          </w:tcPr>
          <w:p w14:paraId="324A7CA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文明殡葬用品租（售）清单</w:t>
            </w:r>
          </w:p>
        </w:tc>
        <w:tc>
          <w:tcPr>
            <w:tcW w:w="1009" w:type="dxa"/>
            <w:noWrap w:val="0"/>
            <w:vAlign w:val="center"/>
          </w:tcPr>
          <w:p w14:paraId="6AFFCD4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5.鲜花绿植礼厅布置（租/售）</w:t>
            </w:r>
          </w:p>
        </w:tc>
        <w:tc>
          <w:tcPr>
            <w:tcW w:w="2821" w:type="dxa"/>
            <w:noWrap w:val="0"/>
            <w:vAlign w:val="center"/>
          </w:tcPr>
          <w:p w14:paraId="3AB3AD8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品类（价格）不超过5种，可分别制定出售、出租价格。</w:t>
            </w:r>
          </w:p>
        </w:tc>
        <w:tc>
          <w:tcPr>
            <w:tcW w:w="1679" w:type="dxa"/>
            <w:noWrap w:val="0"/>
            <w:vAlign w:val="center"/>
          </w:tcPr>
          <w:p w14:paraId="6F2459A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方正仿宋_GBK" w:eastAsia="仿宋_GB2312" w:cs="方正仿宋_GBK"/>
                <w:w w:val="90"/>
                <w:sz w:val="28"/>
                <w:szCs w:val="28"/>
                <w:lang w:val="en-US" w:eastAsia="zh-CN"/>
              </w:rPr>
            </w:pPr>
            <w:r>
              <w:rPr>
                <w:rFonts w:hint="eastAsia" w:ascii="仿宋_GB2312" w:hAnsi="方正仿宋_GBK" w:eastAsia="仿宋_GB2312" w:cs="方正仿宋_GBK"/>
                <w:w w:val="90"/>
                <w:sz w:val="28"/>
                <w:szCs w:val="28"/>
                <w:lang w:eastAsia="zh-CN"/>
              </w:rPr>
              <w:t>元/套</w:t>
            </w:r>
          </w:p>
        </w:tc>
        <w:tc>
          <w:tcPr>
            <w:tcW w:w="4928" w:type="dxa"/>
            <w:noWrap w:val="0"/>
            <w:vAlign w:val="center"/>
          </w:tcPr>
          <w:p w14:paraId="7DDB1EFA">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条件1.合理利润不超过完全成本的25%；</w:t>
            </w:r>
          </w:p>
          <w:p w14:paraId="54E61280">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条件2.收费标准参考区间上限为3000元/套。以上2个条件按就低原则确定具体上限。</w:t>
            </w:r>
          </w:p>
        </w:tc>
        <w:tc>
          <w:tcPr>
            <w:tcW w:w="1415" w:type="dxa"/>
            <w:vMerge w:val="restart"/>
            <w:noWrap w:val="0"/>
            <w:vAlign w:val="center"/>
          </w:tcPr>
          <w:p w14:paraId="0C6DD0A5">
            <w:pPr>
              <w:keepNext w:val="0"/>
              <w:keepLines w:val="0"/>
              <w:pageBreakBefore w:val="0"/>
              <w:widowControl w:val="0"/>
              <w:kinsoku/>
              <w:wordWrap/>
              <w:overflowPunct/>
              <w:topLinePunct w:val="0"/>
              <w:autoSpaceDE/>
              <w:autoSpaceDN/>
              <w:bidi w:val="0"/>
              <w:adjustRightInd/>
              <w:snapToGrid/>
              <w:spacing w:line="320" w:lineRule="exact"/>
              <w:jc w:val="left"/>
              <w:textAlignment w:val="auto"/>
              <w:rPr>
                <w:sz w:val="21"/>
                <w:szCs w:val="24"/>
              </w:rPr>
            </w:pPr>
          </w:p>
        </w:tc>
      </w:tr>
      <w:tr w14:paraId="2EDE5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9" w:hRule="atLeast"/>
          <w:tblHeader/>
          <w:jc w:val="center"/>
        </w:trPr>
        <w:tc>
          <w:tcPr>
            <w:tcW w:w="500" w:type="dxa"/>
            <w:vMerge w:val="continue"/>
            <w:noWrap w:val="0"/>
            <w:vAlign w:val="center"/>
          </w:tcPr>
          <w:p w14:paraId="1D1DA5E1">
            <w:pPr>
              <w:keepNext w:val="0"/>
              <w:keepLines w:val="0"/>
              <w:pageBreakBefore w:val="0"/>
              <w:widowControl w:val="0"/>
              <w:kinsoku/>
              <w:wordWrap/>
              <w:overflowPunct/>
              <w:topLinePunct w:val="0"/>
              <w:autoSpaceDE/>
              <w:autoSpaceDN/>
              <w:bidi w:val="0"/>
              <w:adjustRightInd/>
              <w:snapToGrid/>
              <w:spacing w:line="320" w:lineRule="exact"/>
              <w:jc w:val="center"/>
              <w:textAlignment w:val="auto"/>
            </w:pPr>
          </w:p>
        </w:tc>
        <w:tc>
          <w:tcPr>
            <w:tcW w:w="982" w:type="dxa"/>
            <w:vMerge w:val="continue"/>
            <w:noWrap w:val="0"/>
            <w:vAlign w:val="center"/>
          </w:tcPr>
          <w:p w14:paraId="42CFF5CA">
            <w:pPr>
              <w:keepNext w:val="0"/>
              <w:keepLines w:val="0"/>
              <w:pageBreakBefore w:val="0"/>
              <w:widowControl w:val="0"/>
              <w:kinsoku/>
              <w:wordWrap/>
              <w:overflowPunct/>
              <w:topLinePunct w:val="0"/>
              <w:autoSpaceDE/>
              <w:autoSpaceDN/>
              <w:bidi w:val="0"/>
              <w:adjustRightInd/>
              <w:snapToGrid/>
              <w:spacing w:line="320" w:lineRule="exact"/>
              <w:jc w:val="center"/>
              <w:textAlignment w:val="auto"/>
            </w:pPr>
          </w:p>
        </w:tc>
        <w:tc>
          <w:tcPr>
            <w:tcW w:w="1442" w:type="dxa"/>
            <w:gridSpan w:val="2"/>
            <w:vMerge w:val="continue"/>
            <w:noWrap w:val="0"/>
            <w:vAlign w:val="center"/>
          </w:tcPr>
          <w:p w14:paraId="308D91AE">
            <w:pPr>
              <w:keepNext w:val="0"/>
              <w:keepLines w:val="0"/>
              <w:pageBreakBefore w:val="0"/>
              <w:widowControl w:val="0"/>
              <w:kinsoku/>
              <w:wordWrap/>
              <w:overflowPunct/>
              <w:topLinePunct w:val="0"/>
              <w:autoSpaceDE/>
              <w:autoSpaceDN/>
              <w:bidi w:val="0"/>
              <w:adjustRightInd/>
              <w:snapToGrid/>
              <w:spacing w:line="320" w:lineRule="exact"/>
              <w:jc w:val="center"/>
              <w:textAlignment w:val="auto"/>
            </w:pPr>
          </w:p>
        </w:tc>
        <w:tc>
          <w:tcPr>
            <w:tcW w:w="1009" w:type="dxa"/>
            <w:noWrap w:val="0"/>
            <w:vAlign w:val="center"/>
          </w:tcPr>
          <w:p w14:paraId="397376F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6.花圈（租/售）</w:t>
            </w:r>
          </w:p>
        </w:tc>
        <w:tc>
          <w:tcPr>
            <w:tcW w:w="2821" w:type="dxa"/>
            <w:noWrap w:val="0"/>
            <w:vAlign w:val="center"/>
          </w:tcPr>
          <w:p w14:paraId="194AB0D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品类（价格）不超过5种，可分别制定出售、出租价格。</w:t>
            </w:r>
          </w:p>
        </w:tc>
        <w:tc>
          <w:tcPr>
            <w:tcW w:w="1679" w:type="dxa"/>
            <w:noWrap w:val="0"/>
            <w:vAlign w:val="center"/>
          </w:tcPr>
          <w:p w14:paraId="462AF64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元/个</w:t>
            </w:r>
          </w:p>
        </w:tc>
        <w:tc>
          <w:tcPr>
            <w:tcW w:w="4928" w:type="dxa"/>
            <w:noWrap w:val="0"/>
            <w:vAlign w:val="center"/>
          </w:tcPr>
          <w:p w14:paraId="117A3792">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收费标准参考区间为进销差率不超过25%〔进销差率=（销价-进价）/销价*100%〕</w:t>
            </w:r>
          </w:p>
        </w:tc>
        <w:tc>
          <w:tcPr>
            <w:tcW w:w="1415" w:type="dxa"/>
            <w:vMerge w:val="continue"/>
            <w:noWrap w:val="0"/>
            <w:vAlign w:val="center"/>
          </w:tcPr>
          <w:p w14:paraId="0C21A068">
            <w:pPr>
              <w:keepNext w:val="0"/>
              <w:keepLines w:val="0"/>
              <w:pageBreakBefore w:val="0"/>
              <w:widowControl w:val="0"/>
              <w:kinsoku/>
              <w:wordWrap/>
              <w:overflowPunct/>
              <w:topLinePunct w:val="0"/>
              <w:autoSpaceDE/>
              <w:autoSpaceDN/>
              <w:bidi w:val="0"/>
              <w:adjustRightInd/>
              <w:snapToGrid/>
              <w:spacing w:line="320" w:lineRule="exact"/>
              <w:jc w:val="center"/>
              <w:textAlignment w:val="auto"/>
            </w:pPr>
          </w:p>
        </w:tc>
      </w:tr>
      <w:tr w14:paraId="602DF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atLeast"/>
          <w:tblHeader/>
          <w:jc w:val="center"/>
        </w:trPr>
        <w:tc>
          <w:tcPr>
            <w:tcW w:w="500" w:type="dxa"/>
            <w:vMerge w:val="continue"/>
            <w:noWrap w:val="0"/>
            <w:vAlign w:val="center"/>
          </w:tcPr>
          <w:p w14:paraId="448C59C5">
            <w:pPr>
              <w:keepNext w:val="0"/>
              <w:keepLines w:val="0"/>
              <w:pageBreakBefore w:val="0"/>
              <w:widowControl w:val="0"/>
              <w:kinsoku/>
              <w:wordWrap/>
              <w:overflowPunct/>
              <w:topLinePunct w:val="0"/>
              <w:autoSpaceDE/>
              <w:autoSpaceDN/>
              <w:bidi w:val="0"/>
              <w:adjustRightInd/>
              <w:snapToGrid/>
              <w:spacing w:line="320" w:lineRule="exact"/>
              <w:jc w:val="center"/>
              <w:textAlignment w:val="auto"/>
            </w:pPr>
          </w:p>
        </w:tc>
        <w:tc>
          <w:tcPr>
            <w:tcW w:w="982" w:type="dxa"/>
            <w:vMerge w:val="continue"/>
            <w:noWrap w:val="0"/>
            <w:vAlign w:val="center"/>
          </w:tcPr>
          <w:p w14:paraId="257CFEA3">
            <w:pPr>
              <w:keepNext w:val="0"/>
              <w:keepLines w:val="0"/>
              <w:pageBreakBefore w:val="0"/>
              <w:widowControl w:val="0"/>
              <w:kinsoku/>
              <w:wordWrap/>
              <w:overflowPunct/>
              <w:topLinePunct w:val="0"/>
              <w:autoSpaceDE/>
              <w:autoSpaceDN/>
              <w:bidi w:val="0"/>
              <w:adjustRightInd/>
              <w:snapToGrid/>
              <w:spacing w:line="320" w:lineRule="exact"/>
              <w:jc w:val="center"/>
              <w:textAlignment w:val="auto"/>
            </w:pPr>
          </w:p>
        </w:tc>
        <w:tc>
          <w:tcPr>
            <w:tcW w:w="1442" w:type="dxa"/>
            <w:gridSpan w:val="2"/>
            <w:vMerge w:val="continue"/>
            <w:noWrap w:val="0"/>
            <w:vAlign w:val="center"/>
          </w:tcPr>
          <w:p w14:paraId="628C1DBB">
            <w:pPr>
              <w:keepNext w:val="0"/>
              <w:keepLines w:val="0"/>
              <w:pageBreakBefore w:val="0"/>
              <w:widowControl w:val="0"/>
              <w:kinsoku/>
              <w:wordWrap/>
              <w:overflowPunct/>
              <w:topLinePunct w:val="0"/>
              <w:autoSpaceDE/>
              <w:autoSpaceDN/>
              <w:bidi w:val="0"/>
              <w:adjustRightInd/>
              <w:snapToGrid/>
              <w:spacing w:line="320" w:lineRule="exact"/>
              <w:jc w:val="center"/>
              <w:textAlignment w:val="auto"/>
            </w:pPr>
          </w:p>
        </w:tc>
        <w:tc>
          <w:tcPr>
            <w:tcW w:w="1009" w:type="dxa"/>
            <w:noWrap w:val="0"/>
            <w:vAlign w:val="center"/>
          </w:tcPr>
          <w:p w14:paraId="10B4EDD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7.骨灰盒包袋</w:t>
            </w:r>
          </w:p>
        </w:tc>
        <w:tc>
          <w:tcPr>
            <w:tcW w:w="2821" w:type="dxa"/>
            <w:noWrap w:val="0"/>
            <w:vAlign w:val="center"/>
          </w:tcPr>
          <w:p w14:paraId="12ECFAF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用于已装灰骨灰盒包装携带，品类（价格）为一种。</w:t>
            </w:r>
          </w:p>
        </w:tc>
        <w:tc>
          <w:tcPr>
            <w:tcW w:w="1679" w:type="dxa"/>
            <w:noWrap w:val="0"/>
            <w:vAlign w:val="center"/>
          </w:tcPr>
          <w:p w14:paraId="5A48365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元/个</w:t>
            </w:r>
          </w:p>
        </w:tc>
        <w:tc>
          <w:tcPr>
            <w:tcW w:w="4928" w:type="dxa"/>
            <w:noWrap w:val="0"/>
            <w:vAlign w:val="center"/>
          </w:tcPr>
          <w:p w14:paraId="2060E928">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收费标准参考区间为进销差率不超过25%〔进销差率=（销价-进价）/销价*100%〕</w:t>
            </w:r>
          </w:p>
        </w:tc>
        <w:tc>
          <w:tcPr>
            <w:tcW w:w="1415" w:type="dxa"/>
            <w:vMerge w:val="continue"/>
            <w:noWrap w:val="0"/>
            <w:vAlign w:val="center"/>
          </w:tcPr>
          <w:p w14:paraId="7BEA2561">
            <w:pPr>
              <w:keepNext w:val="0"/>
              <w:keepLines w:val="0"/>
              <w:pageBreakBefore w:val="0"/>
              <w:widowControl w:val="0"/>
              <w:kinsoku/>
              <w:wordWrap/>
              <w:overflowPunct/>
              <w:topLinePunct w:val="0"/>
              <w:autoSpaceDE/>
              <w:autoSpaceDN/>
              <w:bidi w:val="0"/>
              <w:adjustRightInd/>
              <w:snapToGrid/>
              <w:spacing w:line="320" w:lineRule="exact"/>
              <w:jc w:val="center"/>
              <w:textAlignment w:val="auto"/>
            </w:pPr>
          </w:p>
        </w:tc>
      </w:tr>
      <w:tr w14:paraId="762A8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4" w:hRule="atLeast"/>
          <w:tblHeader/>
          <w:jc w:val="center"/>
        </w:trPr>
        <w:tc>
          <w:tcPr>
            <w:tcW w:w="500" w:type="dxa"/>
            <w:vMerge w:val="continue"/>
            <w:noWrap w:val="0"/>
            <w:vAlign w:val="center"/>
          </w:tcPr>
          <w:p w14:paraId="4B394A16">
            <w:pPr>
              <w:keepNext w:val="0"/>
              <w:keepLines w:val="0"/>
              <w:pageBreakBefore w:val="0"/>
              <w:widowControl w:val="0"/>
              <w:kinsoku/>
              <w:wordWrap/>
              <w:overflowPunct/>
              <w:topLinePunct w:val="0"/>
              <w:autoSpaceDE/>
              <w:autoSpaceDN/>
              <w:bidi w:val="0"/>
              <w:adjustRightInd/>
              <w:snapToGrid/>
              <w:spacing w:line="320" w:lineRule="exact"/>
              <w:jc w:val="center"/>
              <w:textAlignment w:val="auto"/>
            </w:pPr>
          </w:p>
        </w:tc>
        <w:tc>
          <w:tcPr>
            <w:tcW w:w="982" w:type="dxa"/>
            <w:vMerge w:val="continue"/>
            <w:noWrap w:val="0"/>
            <w:vAlign w:val="center"/>
          </w:tcPr>
          <w:p w14:paraId="3957DDCD">
            <w:pPr>
              <w:keepNext w:val="0"/>
              <w:keepLines w:val="0"/>
              <w:pageBreakBefore w:val="0"/>
              <w:widowControl w:val="0"/>
              <w:kinsoku/>
              <w:wordWrap/>
              <w:overflowPunct/>
              <w:topLinePunct w:val="0"/>
              <w:autoSpaceDE/>
              <w:autoSpaceDN/>
              <w:bidi w:val="0"/>
              <w:adjustRightInd/>
              <w:snapToGrid/>
              <w:spacing w:line="320" w:lineRule="exact"/>
              <w:jc w:val="center"/>
              <w:textAlignment w:val="auto"/>
            </w:pPr>
          </w:p>
        </w:tc>
        <w:tc>
          <w:tcPr>
            <w:tcW w:w="1442" w:type="dxa"/>
            <w:gridSpan w:val="2"/>
            <w:vMerge w:val="continue"/>
            <w:noWrap w:val="0"/>
            <w:vAlign w:val="center"/>
          </w:tcPr>
          <w:p w14:paraId="3978DBD9">
            <w:pPr>
              <w:keepNext w:val="0"/>
              <w:keepLines w:val="0"/>
              <w:pageBreakBefore w:val="0"/>
              <w:widowControl w:val="0"/>
              <w:kinsoku/>
              <w:wordWrap/>
              <w:overflowPunct/>
              <w:topLinePunct w:val="0"/>
              <w:autoSpaceDE/>
              <w:autoSpaceDN/>
              <w:bidi w:val="0"/>
              <w:adjustRightInd/>
              <w:snapToGrid/>
              <w:spacing w:line="320" w:lineRule="exact"/>
              <w:jc w:val="center"/>
              <w:textAlignment w:val="auto"/>
            </w:pPr>
          </w:p>
        </w:tc>
        <w:tc>
          <w:tcPr>
            <w:tcW w:w="1009" w:type="dxa"/>
            <w:noWrap w:val="0"/>
            <w:vAlign w:val="center"/>
          </w:tcPr>
          <w:p w14:paraId="3948B5C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8.遗物袋</w:t>
            </w:r>
          </w:p>
        </w:tc>
        <w:tc>
          <w:tcPr>
            <w:tcW w:w="2821" w:type="dxa"/>
            <w:noWrap w:val="0"/>
            <w:vAlign w:val="center"/>
          </w:tcPr>
          <w:p w14:paraId="012CFA3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简易小型纺织袋，用于收纳遗物，品类（价格）为一种。</w:t>
            </w:r>
          </w:p>
        </w:tc>
        <w:tc>
          <w:tcPr>
            <w:tcW w:w="1679" w:type="dxa"/>
            <w:noWrap w:val="0"/>
            <w:vAlign w:val="center"/>
          </w:tcPr>
          <w:p w14:paraId="333D372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元/个</w:t>
            </w:r>
          </w:p>
        </w:tc>
        <w:tc>
          <w:tcPr>
            <w:tcW w:w="4928" w:type="dxa"/>
            <w:noWrap w:val="0"/>
            <w:vAlign w:val="center"/>
          </w:tcPr>
          <w:p w14:paraId="0CAA68FC">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收费标准参考区间为进销差率不超过25%〔进销差率=（销价-进价）/销价*100%〕</w:t>
            </w:r>
          </w:p>
        </w:tc>
        <w:tc>
          <w:tcPr>
            <w:tcW w:w="1415" w:type="dxa"/>
            <w:vMerge w:val="continue"/>
            <w:noWrap w:val="0"/>
            <w:vAlign w:val="center"/>
          </w:tcPr>
          <w:p w14:paraId="4BCF77A0">
            <w:pPr>
              <w:keepNext w:val="0"/>
              <w:keepLines w:val="0"/>
              <w:pageBreakBefore w:val="0"/>
              <w:widowControl w:val="0"/>
              <w:kinsoku/>
              <w:wordWrap/>
              <w:overflowPunct/>
              <w:topLinePunct w:val="0"/>
              <w:autoSpaceDE/>
              <w:autoSpaceDN/>
              <w:bidi w:val="0"/>
              <w:adjustRightInd/>
              <w:snapToGrid/>
              <w:spacing w:line="320" w:lineRule="exact"/>
              <w:jc w:val="center"/>
              <w:textAlignment w:val="auto"/>
            </w:pPr>
          </w:p>
        </w:tc>
      </w:tr>
      <w:tr w14:paraId="7B623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2" w:hRule="atLeast"/>
          <w:tblHeader/>
          <w:jc w:val="center"/>
        </w:trPr>
        <w:tc>
          <w:tcPr>
            <w:tcW w:w="500" w:type="dxa"/>
            <w:vMerge w:val="continue"/>
            <w:noWrap w:val="0"/>
            <w:vAlign w:val="center"/>
          </w:tcPr>
          <w:p w14:paraId="1B7A4DE3">
            <w:pPr>
              <w:keepNext w:val="0"/>
              <w:keepLines w:val="0"/>
              <w:pageBreakBefore w:val="0"/>
              <w:widowControl w:val="0"/>
              <w:kinsoku/>
              <w:wordWrap/>
              <w:overflowPunct/>
              <w:topLinePunct w:val="0"/>
              <w:autoSpaceDE/>
              <w:autoSpaceDN/>
              <w:bidi w:val="0"/>
              <w:adjustRightInd/>
              <w:snapToGrid/>
              <w:spacing w:line="320" w:lineRule="exact"/>
              <w:jc w:val="center"/>
              <w:textAlignment w:val="auto"/>
            </w:pPr>
          </w:p>
        </w:tc>
        <w:tc>
          <w:tcPr>
            <w:tcW w:w="982" w:type="dxa"/>
            <w:vMerge w:val="continue"/>
            <w:noWrap w:val="0"/>
            <w:vAlign w:val="center"/>
          </w:tcPr>
          <w:p w14:paraId="313F1FCC">
            <w:pPr>
              <w:keepNext w:val="0"/>
              <w:keepLines w:val="0"/>
              <w:pageBreakBefore w:val="0"/>
              <w:widowControl w:val="0"/>
              <w:kinsoku/>
              <w:wordWrap/>
              <w:overflowPunct/>
              <w:topLinePunct w:val="0"/>
              <w:autoSpaceDE/>
              <w:autoSpaceDN/>
              <w:bidi w:val="0"/>
              <w:adjustRightInd/>
              <w:snapToGrid/>
              <w:spacing w:line="320" w:lineRule="exact"/>
              <w:jc w:val="center"/>
              <w:textAlignment w:val="auto"/>
            </w:pPr>
          </w:p>
        </w:tc>
        <w:tc>
          <w:tcPr>
            <w:tcW w:w="1442" w:type="dxa"/>
            <w:gridSpan w:val="2"/>
            <w:vMerge w:val="continue"/>
            <w:noWrap w:val="0"/>
            <w:vAlign w:val="center"/>
          </w:tcPr>
          <w:p w14:paraId="25FCEA75">
            <w:pPr>
              <w:keepNext w:val="0"/>
              <w:keepLines w:val="0"/>
              <w:pageBreakBefore w:val="0"/>
              <w:widowControl w:val="0"/>
              <w:kinsoku/>
              <w:wordWrap/>
              <w:overflowPunct/>
              <w:topLinePunct w:val="0"/>
              <w:autoSpaceDE/>
              <w:autoSpaceDN/>
              <w:bidi w:val="0"/>
              <w:adjustRightInd/>
              <w:snapToGrid/>
              <w:spacing w:line="320" w:lineRule="exact"/>
              <w:jc w:val="center"/>
              <w:textAlignment w:val="auto"/>
            </w:pPr>
          </w:p>
        </w:tc>
        <w:tc>
          <w:tcPr>
            <w:tcW w:w="1009" w:type="dxa"/>
            <w:noWrap w:val="0"/>
            <w:vAlign w:val="center"/>
          </w:tcPr>
          <w:p w14:paraId="478F51E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kern w:val="2"/>
                <w:sz w:val="28"/>
                <w:szCs w:val="28"/>
                <w:lang w:val="en-US" w:eastAsia="zh-CN" w:bidi="ar-SA"/>
              </w:rPr>
            </w:pPr>
            <w:r>
              <w:rPr>
                <w:rFonts w:hint="eastAsia" w:ascii="仿宋_GB2312" w:hAnsi="方正仿宋_GBK" w:eastAsia="仿宋_GB2312" w:cs="方正仿宋_GBK"/>
                <w:w w:val="90"/>
                <w:sz w:val="28"/>
                <w:szCs w:val="28"/>
                <w:lang w:eastAsia="zh-CN"/>
              </w:rPr>
              <w:t>9.挽联</w:t>
            </w:r>
          </w:p>
        </w:tc>
        <w:tc>
          <w:tcPr>
            <w:tcW w:w="2821" w:type="dxa"/>
            <w:noWrap w:val="0"/>
            <w:vAlign w:val="center"/>
          </w:tcPr>
          <w:p w14:paraId="2436CF6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kern w:val="2"/>
                <w:sz w:val="28"/>
                <w:szCs w:val="28"/>
                <w:lang w:val="en-US" w:eastAsia="zh-CN" w:bidi="ar-SA"/>
              </w:rPr>
            </w:pPr>
            <w:r>
              <w:rPr>
                <w:rFonts w:hint="eastAsia" w:ascii="仿宋_GB2312" w:hAnsi="方正仿宋_GBK" w:eastAsia="仿宋_GB2312" w:cs="方正仿宋_GBK"/>
                <w:w w:val="90"/>
                <w:sz w:val="28"/>
                <w:szCs w:val="28"/>
                <w:lang w:eastAsia="zh-CN"/>
              </w:rPr>
              <w:t>用于悼念告别，品类（价格）为一种。</w:t>
            </w:r>
          </w:p>
        </w:tc>
        <w:tc>
          <w:tcPr>
            <w:tcW w:w="1679" w:type="dxa"/>
            <w:noWrap w:val="0"/>
            <w:vAlign w:val="center"/>
          </w:tcPr>
          <w:p w14:paraId="6597740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kern w:val="2"/>
                <w:sz w:val="28"/>
                <w:szCs w:val="28"/>
                <w:lang w:val="en-US" w:eastAsia="zh-CN" w:bidi="ar-SA"/>
              </w:rPr>
            </w:pPr>
            <w:r>
              <w:rPr>
                <w:rFonts w:hint="eastAsia" w:ascii="仿宋_GB2312" w:hAnsi="方正仿宋_GBK" w:eastAsia="仿宋_GB2312" w:cs="方正仿宋_GBK"/>
                <w:w w:val="90"/>
                <w:sz w:val="28"/>
                <w:szCs w:val="28"/>
                <w:lang w:eastAsia="zh-CN"/>
              </w:rPr>
              <w:t>元/个</w:t>
            </w:r>
          </w:p>
        </w:tc>
        <w:tc>
          <w:tcPr>
            <w:tcW w:w="4928" w:type="dxa"/>
            <w:noWrap w:val="0"/>
            <w:vAlign w:val="center"/>
          </w:tcPr>
          <w:p w14:paraId="48714E99">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_GB2312" w:hAnsi="方正仿宋_GBK" w:eastAsia="仿宋_GB2312" w:cs="方正仿宋_GBK"/>
                <w:w w:val="90"/>
                <w:kern w:val="2"/>
                <w:sz w:val="28"/>
                <w:szCs w:val="28"/>
                <w:lang w:val="en-US" w:eastAsia="zh-CN" w:bidi="ar-SA"/>
              </w:rPr>
            </w:pPr>
            <w:r>
              <w:rPr>
                <w:rFonts w:hint="eastAsia" w:ascii="仿宋_GB2312" w:hAnsi="方正仿宋_GBK" w:eastAsia="仿宋_GB2312" w:cs="方正仿宋_GBK"/>
                <w:w w:val="90"/>
                <w:sz w:val="28"/>
                <w:szCs w:val="28"/>
                <w:lang w:eastAsia="zh-CN"/>
              </w:rPr>
              <w:t>收费标准参考区间为进销差率不超过25%〔进销差率=（销价-进价）/销价*100%〕</w:t>
            </w:r>
          </w:p>
        </w:tc>
        <w:tc>
          <w:tcPr>
            <w:tcW w:w="1415" w:type="dxa"/>
            <w:vMerge w:val="continue"/>
            <w:noWrap w:val="0"/>
            <w:vAlign w:val="center"/>
          </w:tcPr>
          <w:p w14:paraId="6180511C">
            <w:pPr>
              <w:keepNext w:val="0"/>
              <w:keepLines w:val="0"/>
              <w:pageBreakBefore w:val="0"/>
              <w:widowControl w:val="0"/>
              <w:kinsoku/>
              <w:wordWrap/>
              <w:overflowPunct/>
              <w:topLinePunct w:val="0"/>
              <w:autoSpaceDE/>
              <w:autoSpaceDN/>
              <w:bidi w:val="0"/>
              <w:adjustRightInd/>
              <w:snapToGrid/>
              <w:spacing w:line="320" w:lineRule="exact"/>
              <w:jc w:val="center"/>
              <w:textAlignment w:val="auto"/>
            </w:pPr>
          </w:p>
        </w:tc>
      </w:tr>
      <w:tr w14:paraId="3FBC2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blHeader/>
          <w:jc w:val="center"/>
        </w:trPr>
        <w:tc>
          <w:tcPr>
            <w:tcW w:w="500" w:type="dxa"/>
            <w:noWrap w:val="0"/>
            <w:vAlign w:val="center"/>
          </w:tcPr>
          <w:p w14:paraId="571A54F2">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仿宋_GB2312" w:hAnsi="方正仿宋_GBK" w:eastAsia="仿宋_GB2312" w:cs="方正仿宋_GBK"/>
                <w:w w:val="90"/>
                <w:kern w:val="2"/>
                <w:sz w:val="28"/>
                <w:szCs w:val="28"/>
                <w:lang w:val="en-US" w:eastAsia="zh-CN" w:bidi="ar-SA"/>
              </w:rPr>
            </w:pPr>
            <w:r>
              <w:rPr>
                <w:rFonts w:hint="eastAsia" w:ascii="方正黑体_GBK" w:hAnsi="方正黑体_GBK" w:eastAsia="方正黑体_GBK" w:cs="方正黑体_GBK"/>
                <w:w w:val="90"/>
                <w:sz w:val="28"/>
                <w:szCs w:val="36"/>
              </w:rPr>
              <w:t>序号</w:t>
            </w:r>
          </w:p>
        </w:tc>
        <w:tc>
          <w:tcPr>
            <w:tcW w:w="982" w:type="dxa"/>
            <w:noWrap w:val="0"/>
            <w:vAlign w:val="center"/>
          </w:tcPr>
          <w:p w14:paraId="5AEB377E">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ascii="Calibri" w:hAnsi="Calibri" w:eastAsia="宋体" w:cs="Times New Roman"/>
                <w:kern w:val="2"/>
                <w:sz w:val="21"/>
                <w:szCs w:val="24"/>
                <w:lang w:val="en-US" w:eastAsia="zh-CN" w:bidi="ar-SA"/>
              </w:rPr>
            </w:pPr>
            <w:r>
              <w:rPr>
                <w:rFonts w:hint="eastAsia" w:ascii="方正黑体_GBK" w:hAnsi="方正黑体_GBK" w:eastAsia="方正黑体_GBK" w:cs="方正黑体_GBK"/>
                <w:w w:val="90"/>
                <w:sz w:val="28"/>
                <w:szCs w:val="36"/>
              </w:rPr>
              <w:t>价格管理类型</w:t>
            </w:r>
          </w:p>
        </w:tc>
        <w:tc>
          <w:tcPr>
            <w:tcW w:w="2451" w:type="dxa"/>
            <w:gridSpan w:val="3"/>
            <w:noWrap w:val="0"/>
            <w:vAlign w:val="center"/>
          </w:tcPr>
          <w:p w14:paraId="112F3D8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kern w:val="2"/>
                <w:sz w:val="28"/>
                <w:szCs w:val="28"/>
                <w:lang w:val="en-US" w:eastAsia="zh-CN" w:bidi="ar-SA"/>
              </w:rPr>
            </w:pPr>
            <w:r>
              <w:rPr>
                <w:rFonts w:hint="eastAsia" w:ascii="方正黑体_GBK" w:hAnsi="方正黑体_GBK" w:eastAsia="方正黑体_GBK" w:cs="方正黑体_GBK"/>
                <w:w w:val="90"/>
                <w:sz w:val="28"/>
                <w:szCs w:val="36"/>
              </w:rPr>
              <w:t>服务项目</w:t>
            </w:r>
          </w:p>
        </w:tc>
        <w:tc>
          <w:tcPr>
            <w:tcW w:w="2821" w:type="dxa"/>
            <w:noWrap w:val="0"/>
            <w:vAlign w:val="center"/>
          </w:tcPr>
          <w:p w14:paraId="12C294E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kern w:val="2"/>
                <w:sz w:val="28"/>
                <w:szCs w:val="28"/>
                <w:lang w:val="en-US" w:eastAsia="zh-CN" w:bidi="ar-SA"/>
              </w:rPr>
            </w:pPr>
            <w:r>
              <w:rPr>
                <w:rFonts w:hint="eastAsia" w:ascii="方正黑体_GBK" w:hAnsi="方正黑体_GBK" w:eastAsia="方正黑体_GBK" w:cs="方正黑体_GBK"/>
                <w:w w:val="90"/>
                <w:sz w:val="28"/>
                <w:szCs w:val="36"/>
              </w:rPr>
              <w:t>服务内容</w:t>
            </w:r>
          </w:p>
        </w:tc>
        <w:tc>
          <w:tcPr>
            <w:tcW w:w="1679" w:type="dxa"/>
            <w:noWrap w:val="0"/>
            <w:vAlign w:val="center"/>
          </w:tcPr>
          <w:p w14:paraId="73404E5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kern w:val="2"/>
                <w:sz w:val="28"/>
                <w:szCs w:val="28"/>
                <w:lang w:val="en-US" w:eastAsia="zh-CN" w:bidi="ar-SA"/>
              </w:rPr>
            </w:pPr>
            <w:r>
              <w:rPr>
                <w:rFonts w:hint="eastAsia" w:ascii="方正黑体_GBK" w:hAnsi="方正黑体_GBK" w:eastAsia="方正黑体_GBK" w:cs="方正黑体_GBK"/>
                <w:w w:val="90"/>
                <w:sz w:val="28"/>
                <w:szCs w:val="36"/>
                <w:lang w:eastAsia="zh-CN"/>
              </w:rPr>
              <w:t>计价单位</w:t>
            </w:r>
          </w:p>
        </w:tc>
        <w:tc>
          <w:tcPr>
            <w:tcW w:w="4928" w:type="dxa"/>
            <w:noWrap w:val="0"/>
            <w:vAlign w:val="center"/>
          </w:tcPr>
          <w:p w14:paraId="21F6EEF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kern w:val="2"/>
                <w:sz w:val="28"/>
                <w:szCs w:val="28"/>
                <w:lang w:val="en-US" w:eastAsia="zh-CN" w:bidi="ar-SA"/>
              </w:rPr>
            </w:pPr>
            <w:r>
              <w:rPr>
                <w:rFonts w:hint="eastAsia" w:ascii="方正黑体_GBK" w:hAnsi="方正黑体_GBK" w:eastAsia="方正黑体_GBK" w:cs="方正黑体_GBK"/>
                <w:w w:val="90"/>
                <w:sz w:val="28"/>
                <w:szCs w:val="36"/>
                <w:lang w:eastAsia="zh-CN"/>
              </w:rPr>
              <w:t>收费标准参考区间</w:t>
            </w:r>
          </w:p>
        </w:tc>
        <w:tc>
          <w:tcPr>
            <w:tcW w:w="1415" w:type="dxa"/>
            <w:noWrap w:val="0"/>
            <w:vAlign w:val="center"/>
          </w:tcPr>
          <w:p w14:paraId="5F05329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Calibri" w:hAnsi="Calibri" w:eastAsia="宋体" w:cs="Times New Roman"/>
                <w:kern w:val="2"/>
                <w:sz w:val="21"/>
                <w:szCs w:val="24"/>
                <w:lang w:val="en-US" w:eastAsia="zh-CN" w:bidi="ar-SA"/>
              </w:rPr>
            </w:pPr>
            <w:r>
              <w:rPr>
                <w:rFonts w:hint="eastAsia" w:ascii="方正黑体_GBK" w:hAnsi="方正黑体_GBK" w:eastAsia="方正黑体_GBK" w:cs="方正黑体_GBK"/>
                <w:w w:val="90"/>
                <w:sz w:val="28"/>
                <w:szCs w:val="36"/>
                <w:lang w:eastAsia="zh-CN"/>
              </w:rPr>
              <w:t>备注</w:t>
            </w:r>
          </w:p>
        </w:tc>
      </w:tr>
      <w:tr w14:paraId="55D27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tblHeader/>
          <w:jc w:val="center"/>
        </w:trPr>
        <w:tc>
          <w:tcPr>
            <w:tcW w:w="500" w:type="dxa"/>
            <w:vMerge w:val="restart"/>
            <w:noWrap w:val="0"/>
            <w:vAlign w:val="center"/>
          </w:tcPr>
          <w:p w14:paraId="788BB502">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仿宋_GB2312" w:hAnsi="方正仿宋_GBK" w:eastAsia="仿宋_GB2312" w:cs="方正仿宋_GBK"/>
                <w:w w:val="90"/>
                <w:sz w:val="28"/>
                <w:szCs w:val="28"/>
                <w:lang w:val="en-US" w:eastAsia="zh-CN"/>
              </w:rPr>
            </w:pPr>
            <w:r>
              <w:rPr>
                <w:rFonts w:hint="eastAsia" w:ascii="仿宋_GB2312" w:hAnsi="方正仿宋_GBK" w:eastAsia="仿宋_GB2312" w:cs="方正仿宋_GBK"/>
                <w:w w:val="90"/>
                <w:sz w:val="28"/>
                <w:szCs w:val="28"/>
                <w:lang w:val="en-US" w:eastAsia="zh-CN"/>
              </w:rPr>
              <w:t>22</w:t>
            </w:r>
          </w:p>
        </w:tc>
        <w:tc>
          <w:tcPr>
            <w:tcW w:w="982" w:type="dxa"/>
            <w:vMerge w:val="restart"/>
            <w:noWrap w:val="0"/>
            <w:vAlign w:val="center"/>
          </w:tcPr>
          <w:p w14:paraId="2A652EBD">
            <w:pPr>
              <w:keepNext w:val="0"/>
              <w:keepLines w:val="0"/>
              <w:pageBreakBefore w:val="0"/>
              <w:widowControl w:val="0"/>
              <w:kinsoku/>
              <w:wordWrap/>
              <w:overflowPunct/>
              <w:topLinePunct w:val="0"/>
              <w:autoSpaceDE/>
              <w:autoSpaceDN/>
              <w:bidi w:val="0"/>
              <w:adjustRightInd/>
              <w:snapToGrid/>
              <w:spacing w:line="320" w:lineRule="exact"/>
              <w:jc w:val="left"/>
              <w:textAlignment w:val="auto"/>
              <w:rPr>
                <w:sz w:val="21"/>
                <w:szCs w:val="24"/>
              </w:rPr>
            </w:pPr>
            <w:r>
              <w:rPr>
                <w:rFonts w:hint="eastAsia" w:ascii="方正黑体_GBK" w:hAnsi="方正黑体_GBK" w:eastAsia="方正黑体_GBK" w:cs="方正黑体_GBK"/>
                <w:w w:val="90"/>
                <w:sz w:val="24"/>
                <w:szCs w:val="32"/>
                <w:lang w:eastAsia="zh-CN"/>
              </w:rPr>
              <w:t>非基础项目：市场调节价（</w:t>
            </w:r>
            <w:r>
              <w:rPr>
                <w:rFonts w:hint="eastAsia" w:ascii="方正黑体_GBK" w:hAnsi="方正黑体_GBK" w:eastAsia="方正黑体_GBK" w:cs="方正黑体_GBK"/>
                <w:w w:val="90"/>
                <w:sz w:val="24"/>
                <w:szCs w:val="32"/>
                <w:lang w:val="en-US" w:eastAsia="zh-CN"/>
              </w:rPr>
              <w:t>2项</w:t>
            </w:r>
            <w:r>
              <w:rPr>
                <w:rFonts w:hint="eastAsia" w:ascii="方正黑体_GBK" w:hAnsi="方正黑体_GBK" w:eastAsia="方正黑体_GBK" w:cs="方正黑体_GBK"/>
                <w:w w:val="90"/>
                <w:sz w:val="24"/>
                <w:szCs w:val="32"/>
                <w:lang w:eastAsia="zh-CN"/>
              </w:rPr>
              <w:t>）</w:t>
            </w:r>
          </w:p>
        </w:tc>
        <w:tc>
          <w:tcPr>
            <w:tcW w:w="1022" w:type="dxa"/>
            <w:vMerge w:val="restart"/>
            <w:noWrap w:val="0"/>
            <w:vAlign w:val="center"/>
          </w:tcPr>
          <w:p w14:paraId="53CB181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文明殡葬用品租（售）清单</w:t>
            </w:r>
          </w:p>
        </w:tc>
        <w:tc>
          <w:tcPr>
            <w:tcW w:w="1429" w:type="dxa"/>
            <w:gridSpan w:val="2"/>
            <w:noWrap w:val="0"/>
            <w:vAlign w:val="center"/>
          </w:tcPr>
          <w:p w14:paraId="32B14BC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10.小白花</w:t>
            </w:r>
          </w:p>
        </w:tc>
        <w:tc>
          <w:tcPr>
            <w:tcW w:w="2821" w:type="dxa"/>
            <w:noWrap w:val="0"/>
            <w:vAlign w:val="center"/>
          </w:tcPr>
          <w:p w14:paraId="17044FA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佩戴于胸前，品类（价格）为一种。</w:t>
            </w:r>
          </w:p>
        </w:tc>
        <w:tc>
          <w:tcPr>
            <w:tcW w:w="1679" w:type="dxa"/>
            <w:noWrap w:val="0"/>
            <w:vAlign w:val="center"/>
          </w:tcPr>
          <w:p w14:paraId="2F92644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方正仿宋_GBK" w:eastAsia="仿宋_GB2312" w:cs="方正仿宋_GBK"/>
                <w:w w:val="90"/>
                <w:sz w:val="28"/>
                <w:szCs w:val="28"/>
                <w:lang w:val="en-US" w:eastAsia="zh-CN"/>
              </w:rPr>
            </w:pPr>
            <w:r>
              <w:rPr>
                <w:rFonts w:hint="eastAsia" w:ascii="仿宋_GB2312" w:hAnsi="方正仿宋_GBK" w:eastAsia="仿宋_GB2312" w:cs="方正仿宋_GBK"/>
                <w:w w:val="90"/>
                <w:sz w:val="28"/>
                <w:szCs w:val="28"/>
                <w:lang w:eastAsia="zh-CN"/>
              </w:rPr>
              <w:t>元/个</w:t>
            </w:r>
          </w:p>
        </w:tc>
        <w:tc>
          <w:tcPr>
            <w:tcW w:w="4928" w:type="dxa"/>
            <w:noWrap w:val="0"/>
            <w:vAlign w:val="center"/>
          </w:tcPr>
          <w:p w14:paraId="6E25C665">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收费标准参考区间为进销差率不超过25%〔进销差率=（销价-进价）/销价*100%〕</w:t>
            </w:r>
          </w:p>
        </w:tc>
        <w:tc>
          <w:tcPr>
            <w:tcW w:w="1415" w:type="dxa"/>
            <w:vMerge w:val="restart"/>
            <w:noWrap w:val="0"/>
            <w:vAlign w:val="center"/>
          </w:tcPr>
          <w:p w14:paraId="212EF6F0">
            <w:pPr>
              <w:keepNext w:val="0"/>
              <w:keepLines w:val="0"/>
              <w:pageBreakBefore w:val="0"/>
              <w:widowControl w:val="0"/>
              <w:kinsoku/>
              <w:wordWrap/>
              <w:overflowPunct/>
              <w:topLinePunct w:val="0"/>
              <w:autoSpaceDE/>
              <w:autoSpaceDN/>
              <w:bidi w:val="0"/>
              <w:adjustRightInd/>
              <w:snapToGrid/>
              <w:spacing w:line="320" w:lineRule="exact"/>
              <w:jc w:val="left"/>
              <w:textAlignment w:val="auto"/>
              <w:rPr>
                <w:sz w:val="21"/>
                <w:szCs w:val="24"/>
              </w:rPr>
            </w:pPr>
          </w:p>
        </w:tc>
      </w:tr>
      <w:tr w14:paraId="60996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4" w:hRule="atLeast"/>
          <w:tblHeader/>
          <w:jc w:val="center"/>
        </w:trPr>
        <w:tc>
          <w:tcPr>
            <w:tcW w:w="500" w:type="dxa"/>
            <w:vMerge w:val="continue"/>
            <w:noWrap w:val="0"/>
            <w:vAlign w:val="center"/>
          </w:tcPr>
          <w:p w14:paraId="50DF53B0">
            <w:pPr>
              <w:keepNext w:val="0"/>
              <w:keepLines w:val="0"/>
              <w:pageBreakBefore w:val="0"/>
              <w:widowControl w:val="0"/>
              <w:kinsoku/>
              <w:wordWrap/>
              <w:overflowPunct/>
              <w:topLinePunct w:val="0"/>
              <w:autoSpaceDE/>
              <w:autoSpaceDN/>
              <w:bidi w:val="0"/>
              <w:adjustRightInd/>
              <w:snapToGrid/>
              <w:spacing w:line="320" w:lineRule="exact"/>
              <w:jc w:val="center"/>
              <w:textAlignment w:val="auto"/>
            </w:pPr>
          </w:p>
        </w:tc>
        <w:tc>
          <w:tcPr>
            <w:tcW w:w="982" w:type="dxa"/>
            <w:vMerge w:val="continue"/>
            <w:noWrap w:val="0"/>
            <w:vAlign w:val="center"/>
          </w:tcPr>
          <w:p w14:paraId="0F1CF9B2">
            <w:pPr>
              <w:keepNext w:val="0"/>
              <w:keepLines w:val="0"/>
              <w:pageBreakBefore w:val="0"/>
              <w:widowControl w:val="0"/>
              <w:kinsoku/>
              <w:wordWrap/>
              <w:overflowPunct/>
              <w:topLinePunct w:val="0"/>
              <w:autoSpaceDE/>
              <w:autoSpaceDN/>
              <w:bidi w:val="0"/>
              <w:adjustRightInd/>
              <w:snapToGrid/>
              <w:spacing w:line="320" w:lineRule="exact"/>
              <w:jc w:val="center"/>
              <w:textAlignment w:val="auto"/>
            </w:pPr>
          </w:p>
        </w:tc>
        <w:tc>
          <w:tcPr>
            <w:tcW w:w="1022" w:type="dxa"/>
            <w:vMerge w:val="continue"/>
            <w:noWrap w:val="0"/>
            <w:vAlign w:val="center"/>
          </w:tcPr>
          <w:p w14:paraId="7D067FBE">
            <w:pPr>
              <w:keepNext w:val="0"/>
              <w:keepLines w:val="0"/>
              <w:pageBreakBefore w:val="0"/>
              <w:widowControl w:val="0"/>
              <w:kinsoku/>
              <w:wordWrap/>
              <w:overflowPunct/>
              <w:topLinePunct w:val="0"/>
              <w:autoSpaceDE/>
              <w:autoSpaceDN/>
              <w:bidi w:val="0"/>
              <w:adjustRightInd/>
              <w:snapToGrid/>
              <w:spacing w:line="320" w:lineRule="exact"/>
              <w:jc w:val="center"/>
              <w:textAlignment w:val="auto"/>
            </w:pPr>
          </w:p>
        </w:tc>
        <w:tc>
          <w:tcPr>
            <w:tcW w:w="1429" w:type="dxa"/>
            <w:gridSpan w:val="2"/>
            <w:noWrap w:val="0"/>
            <w:vAlign w:val="center"/>
          </w:tcPr>
          <w:p w14:paraId="28F7ACB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11.墓碑装饰用品</w:t>
            </w:r>
          </w:p>
        </w:tc>
        <w:tc>
          <w:tcPr>
            <w:tcW w:w="2821" w:type="dxa"/>
            <w:noWrap w:val="0"/>
            <w:vAlign w:val="center"/>
          </w:tcPr>
          <w:p w14:paraId="615B21C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花瓶、香炉、瓷像（影雕）、铭牌等墓碑装饰用品，品类（价格）不超过5种，严禁出售封建迷信装饰用品。</w:t>
            </w:r>
          </w:p>
        </w:tc>
        <w:tc>
          <w:tcPr>
            <w:tcW w:w="1679" w:type="dxa"/>
            <w:noWrap w:val="0"/>
            <w:vAlign w:val="center"/>
          </w:tcPr>
          <w:p w14:paraId="42FFDC4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元/个</w:t>
            </w:r>
          </w:p>
        </w:tc>
        <w:tc>
          <w:tcPr>
            <w:tcW w:w="4928" w:type="dxa"/>
            <w:noWrap w:val="0"/>
            <w:vAlign w:val="center"/>
          </w:tcPr>
          <w:p w14:paraId="64EAB179">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条件1.收费标准参考区间为进销差率不超过25%〔进销差率=（销价-进价）/销价*100%〕；</w:t>
            </w:r>
          </w:p>
          <w:p w14:paraId="77D0F232">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条件2.收费标准参考区间上限为2000元/个。以上2个条件按就低原则确定具体上限。</w:t>
            </w:r>
          </w:p>
        </w:tc>
        <w:tc>
          <w:tcPr>
            <w:tcW w:w="1415" w:type="dxa"/>
            <w:vMerge w:val="continue"/>
            <w:noWrap w:val="0"/>
            <w:vAlign w:val="center"/>
          </w:tcPr>
          <w:p w14:paraId="7BAB72B1">
            <w:pPr>
              <w:keepNext w:val="0"/>
              <w:keepLines w:val="0"/>
              <w:pageBreakBefore w:val="0"/>
              <w:widowControl w:val="0"/>
              <w:kinsoku/>
              <w:wordWrap/>
              <w:overflowPunct/>
              <w:topLinePunct w:val="0"/>
              <w:autoSpaceDE/>
              <w:autoSpaceDN/>
              <w:bidi w:val="0"/>
              <w:adjustRightInd/>
              <w:snapToGrid/>
              <w:spacing w:line="320" w:lineRule="exact"/>
              <w:jc w:val="center"/>
              <w:textAlignment w:val="auto"/>
            </w:pPr>
          </w:p>
        </w:tc>
      </w:tr>
      <w:tr w14:paraId="6C9B4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8" w:hRule="atLeast"/>
          <w:tblHeader/>
          <w:jc w:val="center"/>
        </w:trPr>
        <w:tc>
          <w:tcPr>
            <w:tcW w:w="500" w:type="dxa"/>
            <w:vMerge w:val="continue"/>
            <w:noWrap w:val="0"/>
            <w:vAlign w:val="center"/>
          </w:tcPr>
          <w:p w14:paraId="77DDCD12">
            <w:pPr>
              <w:keepNext w:val="0"/>
              <w:keepLines w:val="0"/>
              <w:pageBreakBefore w:val="0"/>
              <w:widowControl w:val="0"/>
              <w:kinsoku/>
              <w:wordWrap/>
              <w:overflowPunct/>
              <w:topLinePunct w:val="0"/>
              <w:autoSpaceDE/>
              <w:autoSpaceDN/>
              <w:bidi w:val="0"/>
              <w:adjustRightInd/>
              <w:snapToGrid/>
              <w:spacing w:line="320" w:lineRule="exact"/>
              <w:jc w:val="center"/>
              <w:textAlignment w:val="auto"/>
            </w:pPr>
          </w:p>
        </w:tc>
        <w:tc>
          <w:tcPr>
            <w:tcW w:w="982" w:type="dxa"/>
            <w:vMerge w:val="continue"/>
            <w:noWrap w:val="0"/>
            <w:vAlign w:val="center"/>
          </w:tcPr>
          <w:p w14:paraId="591D6944">
            <w:pPr>
              <w:keepNext w:val="0"/>
              <w:keepLines w:val="0"/>
              <w:pageBreakBefore w:val="0"/>
              <w:widowControl w:val="0"/>
              <w:kinsoku/>
              <w:wordWrap/>
              <w:overflowPunct/>
              <w:topLinePunct w:val="0"/>
              <w:autoSpaceDE/>
              <w:autoSpaceDN/>
              <w:bidi w:val="0"/>
              <w:adjustRightInd/>
              <w:snapToGrid/>
              <w:spacing w:line="320" w:lineRule="exact"/>
              <w:jc w:val="center"/>
              <w:textAlignment w:val="auto"/>
            </w:pPr>
          </w:p>
        </w:tc>
        <w:tc>
          <w:tcPr>
            <w:tcW w:w="1022" w:type="dxa"/>
            <w:vMerge w:val="continue"/>
            <w:noWrap w:val="0"/>
            <w:vAlign w:val="center"/>
          </w:tcPr>
          <w:p w14:paraId="50CD5BA3">
            <w:pPr>
              <w:keepNext w:val="0"/>
              <w:keepLines w:val="0"/>
              <w:pageBreakBefore w:val="0"/>
              <w:widowControl w:val="0"/>
              <w:kinsoku/>
              <w:wordWrap/>
              <w:overflowPunct/>
              <w:topLinePunct w:val="0"/>
              <w:autoSpaceDE/>
              <w:autoSpaceDN/>
              <w:bidi w:val="0"/>
              <w:adjustRightInd/>
              <w:snapToGrid/>
              <w:spacing w:line="320" w:lineRule="exact"/>
              <w:jc w:val="center"/>
              <w:textAlignment w:val="auto"/>
            </w:pPr>
          </w:p>
        </w:tc>
        <w:tc>
          <w:tcPr>
            <w:tcW w:w="1429" w:type="dxa"/>
            <w:gridSpan w:val="2"/>
            <w:noWrap w:val="0"/>
            <w:vAlign w:val="center"/>
          </w:tcPr>
          <w:p w14:paraId="3B46959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12.文明随葬用品</w:t>
            </w:r>
          </w:p>
        </w:tc>
        <w:tc>
          <w:tcPr>
            <w:tcW w:w="2821" w:type="dxa"/>
            <w:noWrap w:val="0"/>
            <w:vAlign w:val="center"/>
          </w:tcPr>
          <w:p w14:paraId="30862E2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铜制、玉石类随葬用品，品类（价格）不超过5种，严禁出售封建迷信随葬用品。</w:t>
            </w:r>
          </w:p>
        </w:tc>
        <w:tc>
          <w:tcPr>
            <w:tcW w:w="1679" w:type="dxa"/>
            <w:noWrap w:val="0"/>
            <w:vAlign w:val="center"/>
          </w:tcPr>
          <w:p w14:paraId="70C69C6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元/个</w:t>
            </w:r>
          </w:p>
        </w:tc>
        <w:tc>
          <w:tcPr>
            <w:tcW w:w="4928" w:type="dxa"/>
            <w:noWrap w:val="0"/>
            <w:vAlign w:val="center"/>
          </w:tcPr>
          <w:p w14:paraId="387ECF0D">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条件1.收费标准参考区间为进销差率不超过25%〔进销差率=（销价-进价）/销价*100%〕；</w:t>
            </w:r>
          </w:p>
          <w:p w14:paraId="7445DEF3">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条件2.收费标准参考区间上限为1000元/个。以上2个条件按就低原则确定具体上限。</w:t>
            </w:r>
          </w:p>
        </w:tc>
        <w:tc>
          <w:tcPr>
            <w:tcW w:w="1415" w:type="dxa"/>
            <w:vMerge w:val="continue"/>
            <w:noWrap w:val="0"/>
            <w:vAlign w:val="center"/>
          </w:tcPr>
          <w:p w14:paraId="2436B59B">
            <w:pPr>
              <w:keepNext w:val="0"/>
              <w:keepLines w:val="0"/>
              <w:pageBreakBefore w:val="0"/>
              <w:widowControl w:val="0"/>
              <w:kinsoku/>
              <w:wordWrap/>
              <w:overflowPunct/>
              <w:topLinePunct w:val="0"/>
              <w:autoSpaceDE/>
              <w:autoSpaceDN/>
              <w:bidi w:val="0"/>
              <w:adjustRightInd/>
              <w:snapToGrid/>
              <w:spacing w:line="320" w:lineRule="exact"/>
              <w:jc w:val="center"/>
              <w:textAlignment w:val="auto"/>
            </w:pPr>
          </w:p>
        </w:tc>
      </w:tr>
      <w:tr w14:paraId="54791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2" w:hRule="atLeast"/>
          <w:tblHeader/>
          <w:jc w:val="center"/>
        </w:trPr>
        <w:tc>
          <w:tcPr>
            <w:tcW w:w="500" w:type="dxa"/>
            <w:vMerge w:val="continue"/>
            <w:noWrap w:val="0"/>
            <w:vAlign w:val="center"/>
          </w:tcPr>
          <w:p w14:paraId="03CE2F21">
            <w:pPr>
              <w:keepNext w:val="0"/>
              <w:keepLines w:val="0"/>
              <w:pageBreakBefore w:val="0"/>
              <w:widowControl w:val="0"/>
              <w:kinsoku/>
              <w:wordWrap/>
              <w:overflowPunct/>
              <w:topLinePunct w:val="0"/>
              <w:autoSpaceDE/>
              <w:autoSpaceDN/>
              <w:bidi w:val="0"/>
              <w:adjustRightInd/>
              <w:snapToGrid/>
              <w:spacing w:line="320" w:lineRule="exact"/>
              <w:jc w:val="center"/>
              <w:textAlignment w:val="auto"/>
            </w:pPr>
          </w:p>
        </w:tc>
        <w:tc>
          <w:tcPr>
            <w:tcW w:w="982" w:type="dxa"/>
            <w:vMerge w:val="continue"/>
            <w:noWrap w:val="0"/>
            <w:vAlign w:val="center"/>
          </w:tcPr>
          <w:p w14:paraId="61981D75">
            <w:pPr>
              <w:keepNext w:val="0"/>
              <w:keepLines w:val="0"/>
              <w:pageBreakBefore w:val="0"/>
              <w:widowControl w:val="0"/>
              <w:kinsoku/>
              <w:wordWrap/>
              <w:overflowPunct/>
              <w:topLinePunct w:val="0"/>
              <w:autoSpaceDE/>
              <w:autoSpaceDN/>
              <w:bidi w:val="0"/>
              <w:adjustRightInd/>
              <w:snapToGrid/>
              <w:spacing w:line="320" w:lineRule="exact"/>
              <w:jc w:val="center"/>
              <w:textAlignment w:val="auto"/>
            </w:pPr>
          </w:p>
        </w:tc>
        <w:tc>
          <w:tcPr>
            <w:tcW w:w="1022" w:type="dxa"/>
            <w:vMerge w:val="continue"/>
            <w:noWrap w:val="0"/>
            <w:vAlign w:val="center"/>
          </w:tcPr>
          <w:p w14:paraId="5D4A59F6">
            <w:pPr>
              <w:keepNext w:val="0"/>
              <w:keepLines w:val="0"/>
              <w:pageBreakBefore w:val="0"/>
              <w:widowControl w:val="0"/>
              <w:kinsoku/>
              <w:wordWrap/>
              <w:overflowPunct/>
              <w:topLinePunct w:val="0"/>
              <w:autoSpaceDE/>
              <w:autoSpaceDN/>
              <w:bidi w:val="0"/>
              <w:adjustRightInd/>
              <w:snapToGrid/>
              <w:spacing w:line="320" w:lineRule="exact"/>
              <w:jc w:val="center"/>
              <w:textAlignment w:val="auto"/>
            </w:pPr>
          </w:p>
        </w:tc>
        <w:tc>
          <w:tcPr>
            <w:tcW w:w="1429" w:type="dxa"/>
            <w:gridSpan w:val="2"/>
            <w:noWrap w:val="0"/>
            <w:vAlign w:val="center"/>
          </w:tcPr>
          <w:p w14:paraId="76F059F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13.墓穴防潮用品</w:t>
            </w:r>
          </w:p>
        </w:tc>
        <w:tc>
          <w:tcPr>
            <w:tcW w:w="2821" w:type="dxa"/>
            <w:noWrap w:val="0"/>
            <w:vAlign w:val="center"/>
          </w:tcPr>
          <w:p w14:paraId="32A618E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用于墓穴内骨灰盒防潮，品类（价格）不超过5种，严禁出售封建迷信用品。</w:t>
            </w:r>
          </w:p>
        </w:tc>
        <w:tc>
          <w:tcPr>
            <w:tcW w:w="1679" w:type="dxa"/>
            <w:noWrap w:val="0"/>
            <w:vAlign w:val="center"/>
          </w:tcPr>
          <w:p w14:paraId="303C739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元/个</w:t>
            </w:r>
          </w:p>
        </w:tc>
        <w:tc>
          <w:tcPr>
            <w:tcW w:w="4928" w:type="dxa"/>
            <w:noWrap w:val="0"/>
            <w:vAlign w:val="center"/>
          </w:tcPr>
          <w:p w14:paraId="799F69BE">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条件1.收费标准参考区间为进销差率不超过25%〔进销差率=（销价-进价）/销价*100%〕；</w:t>
            </w:r>
          </w:p>
          <w:p w14:paraId="0769225B">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_GB2312" w:hAnsi="方正仿宋_GBK" w:eastAsia="仿宋_GB2312" w:cs="方正仿宋_GBK"/>
                <w:w w:val="90"/>
                <w:sz w:val="28"/>
                <w:szCs w:val="28"/>
                <w:lang w:eastAsia="zh-CN"/>
              </w:rPr>
            </w:pPr>
            <w:r>
              <w:rPr>
                <w:rFonts w:hint="eastAsia" w:ascii="仿宋_GB2312" w:hAnsi="方正仿宋_GBK" w:eastAsia="仿宋_GB2312" w:cs="方正仿宋_GBK"/>
                <w:w w:val="90"/>
                <w:sz w:val="28"/>
                <w:szCs w:val="28"/>
                <w:lang w:eastAsia="zh-CN"/>
              </w:rPr>
              <w:t>条件2.收费标准参考区间上限为3000元/个。以上2个条件按就低原则确定具体上限。</w:t>
            </w:r>
          </w:p>
        </w:tc>
        <w:tc>
          <w:tcPr>
            <w:tcW w:w="1415" w:type="dxa"/>
            <w:vMerge w:val="continue"/>
            <w:noWrap w:val="0"/>
            <w:vAlign w:val="center"/>
          </w:tcPr>
          <w:p w14:paraId="5B562BA9">
            <w:pPr>
              <w:keepNext w:val="0"/>
              <w:keepLines w:val="0"/>
              <w:pageBreakBefore w:val="0"/>
              <w:widowControl w:val="0"/>
              <w:kinsoku/>
              <w:wordWrap/>
              <w:overflowPunct/>
              <w:topLinePunct w:val="0"/>
              <w:autoSpaceDE/>
              <w:autoSpaceDN/>
              <w:bidi w:val="0"/>
              <w:adjustRightInd/>
              <w:snapToGrid/>
              <w:spacing w:line="320" w:lineRule="exact"/>
              <w:jc w:val="center"/>
              <w:textAlignment w:val="auto"/>
            </w:pPr>
          </w:p>
        </w:tc>
      </w:tr>
      <w:tr w14:paraId="47ECD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2" w:hRule="atLeast"/>
          <w:tblHeader/>
          <w:jc w:val="center"/>
        </w:trPr>
        <w:tc>
          <w:tcPr>
            <w:tcW w:w="500" w:type="dxa"/>
            <w:vMerge w:val="continue"/>
            <w:noWrap w:val="0"/>
            <w:vAlign w:val="center"/>
          </w:tcPr>
          <w:p w14:paraId="539507B3">
            <w:pPr>
              <w:keepNext w:val="0"/>
              <w:keepLines w:val="0"/>
              <w:pageBreakBefore w:val="0"/>
              <w:widowControl w:val="0"/>
              <w:kinsoku/>
              <w:wordWrap/>
              <w:overflowPunct/>
              <w:topLinePunct w:val="0"/>
              <w:autoSpaceDE/>
              <w:autoSpaceDN/>
              <w:bidi w:val="0"/>
              <w:adjustRightInd/>
              <w:snapToGrid/>
              <w:spacing w:line="320" w:lineRule="exact"/>
              <w:jc w:val="center"/>
              <w:textAlignment w:val="auto"/>
            </w:pPr>
          </w:p>
        </w:tc>
        <w:tc>
          <w:tcPr>
            <w:tcW w:w="982" w:type="dxa"/>
            <w:vMerge w:val="continue"/>
            <w:noWrap w:val="0"/>
            <w:vAlign w:val="center"/>
          </w:tcPr>
          <w:p w14:paraId="0FB70A38">
            <w:pPr>
              <w:keepNext w:val="0"/>
              <w:keepLines w:val="0"/>
              <w:pageBreakBefore w:val="0"/>
              <w:widowControl w:val="0"/>
              <w:kinsoku/>
              <w:wordWrap/>
              <w:overflowPunct/>
              <w:topLinePunct w:val="0"/>
              <w:autoSpaceDE/>
              <w:autoSpaceDN/>
              <w:bidi w:val="0"/>
              <w:adjustRightInd/>
              <w:snapToGrid/>
              <w:spacing w:line="320" w:lineRule="exact"/>
              <w:jc w:val="center"/>
              <w:textAlignment w:val="auto"/>
            </w:pPr>
          </w:p>
        </w:tc>
        <w:tc>
          <w:tcPr>
            <w:tcW w:w="1022" w:type="dxa"/>
            <w:vMerge w:val="continue"/>
            <w:noWrap w:val="0"/>
            <w:vAlign w:val="center"/>
          </w:tcPr>
          <w:p w14:paraId="64F5FDAE">
            <w:pPr>
              <w:keepNext w:val="0"/>
              <w:keepLines w:val="0"/>
              <w:pageBreakBefore w:val="0"/>
              <w:widowControl w:val="0"/>
              <w:kinsoku/>
              <w:wordWrap/>
              <w:overflowPunct/>
              <w:topLinePunct w:val="0"/>
              <w:autoSpaceDE/>
              <w:autoSpaceDN/>
              <w:bidi w:val="0"/>
              <w:adjustRightInd/>
              <w:snapToGrid/>
              <w:spacing w:line="320" w:lineRule="exact"/>
              <w:jc w:val="center"/>
              <w:textAlignment w:val="auto"/>
            </w:pPr>
          </w:p>
        </w:tc>
        <w:tc>
          <w:tcPr>
            <w:tcW w:w="1429" w:type="dxa"/>
            <w:gridSpan w:val="2"/>
            <w:noWrap w:val="0"/>
            <w:vAlign w:val="center"/>
          </w:tcPr>
          <w:p w14:paraId="1B9C967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kern w:val="2"/>
                <w:sz w:val="28"/>
                <w:szCs w:val="28"/>
                <w:lang w:val="en-US" w:eastAsia="zh-CN" w:bidi="ar-SA"/>
              </w:rPr>
            </w:pPr>
            <w:r>
              <w:rPr>
                <w:rFonts w:hint="eastAsia" w:ascii="仿宋_GB2312" w:hAnsi="方正仿宋_GBK" w:eastAsia="仿宋_GB2312" w:cs="方正仿宋_GBK"/>
                <w:w w:val="90"/>
                <w:sz w:val="28"/>
                <w:szCs w:val="28"/>
                <w:lang w:eastAsia="zh-CN"/>
              </w:rPr>
              <w:t>14.墓套更换</w:t>
            </w:r>
          </w:p>
        </w:tc>
        <w:tc>
          <w:tcPr>
            <w:tcW w:w="2821" w:type="dxa"/>
            <w:noWrap w:val="0"/>
            <w:vAlign w:val="center"/>
          </w:tcPr>
          <w:p w14:paraId="69F8494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kern w:val="2"/>
                <w:sz w:val="28"/>
                <w:szCs w:val="28"/>
                <w:lang w:val="en-US" w:eastAsia="zh-CN" w:bidi="ar-SA"/>
              </w:rPr>
            </w:pPr>
            <w:r>
              <w:rPr>
                <w:rFonts w:hint="eastAsia" w:ascii="仿宋_GB2312" w:hAnsi="方正仿宋_GBK" w:eastAsia="仿宋_GB2312" w:cs="方正仿宋_GBK"/>
                <w:w w:val="90"/>
                <w:sz w:val="28"/>
                <w:szCs w:val="28"/>
                <w:lang w:eastAsia="zh-CN"/>
              </w:rPr>
              <w:t>对老旧（破损）墓套进行更换，品类（价格）不超过5种。</w:t>
            </w:r>
          </w:p>
        </w:tc>
        <w:tc>
          <w:tcPr>
            <w:tcW w:w="1679" w:type="dxa"/>
            <w:noWrap w:val="0"/>
            <w:vAlign w:val="center"/>
          </w:tcPr>
          <w:p w14:paraId="4618C95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方正仿宋_GBK" w:eastAsia="仿宋_GB2312" w:cs="方正仿宋_GBK"/>
                <w:w w:val="90"/>
                <w:kern w:val="2"/>
                <w:sz w:val="28"/>
                <w:szCs w:val="28"/>
                <w:lang w:val="en-US" w:eastAsia="zh-CN" w:bidi="ar-SA"/>
              </w:rPr>
            </w:pPr>
            <w:r>
              <w:rPr>
                <w:rFonts w:hint="eastAsia" w:ascii="仿宋_GB2312" w:hAnsi="方正仿宋_GBK" w:eastAsia="仿宋_GB2312" w:cs="方正仿宋_GBK"/>
                <w:w w:val="90"/>
                <w:sz w:val="28"/>
                <w:szCs w:val="28"/>
                <w:lang w:eastAsia="zh-CN"/>
              </w:rPr>
              <w:t>元/套</w:t>
            </w:r>
          </w:p>
        </w:tc>
        <w:tc>
          <w:tcPr>
            <w:tcW w:w="4928" w:type="dxa"/>
            <w:noWrap w:val="0"/>
            <w:vAlign w:val="center"/>
          </w:tcPr>
          <w:p w14:paraId="567F685A">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_GB2312" w:hAnsi="方正仿宋_GBK" w:eastAsia="仿宋_GB2312" w:cs="方正仿宋_GBK"/>
                <w:w w:val="90"/>
                <w:kern w:val="2"/>
                <w:sz w:val="28"/>
                <w:szCs w:val="28"/>
                <w:lang w:val="en-US" w:eastAsia="zh-CN" w:bidi="ar-SA"/>
              </w:rPr>
            </w:pPr>
            <w:r>
              <w:rPr>
                <w:rFonts w:hint="eastAsia" w:ascii="仿宋_GB2312" w:hAnsi="方正仿宋_GBK" w:eastAsia="仿宋_GB2312" w:cs="方正仿宋_GBK"/>
                <w:w w:val="90"/>
                <w:sz w:val="28"/>
                <w:szCs w:val="28"/>
                <w:lang w:eastAsia="zh-CN"/>
              </w:rPr>
              <w:t>收费标准参考区间为进销差率不超过25%〔进销差率=（销价-进价）/销价*100%〕</w:t>
            </w:r>
          </w:p>
        </w:tc>
        <w:tc>
          <w:tcPr>
            <w:tcW w:w="1415" w:type="dxa"/>
            <w:vMerge w:val="continue"/>
            <w:noWrap w:val="0"/>
            <w:vAlign w:val="center"/>
          </w:tcPr>
          <w:p w14:paraId="5382C09D">
            <w:pPr>
              <w:keepNext w:val="0"/>
              <w:keepLines w:val="0"/>
              <w:pageBreakBefore w:val="0"/>
              <w:widowControl w:val="0"/>
              <w:kinsoku/>
              <w:wordWrap/>
              <w:overflowPunct/>
              <w:topLinePunct w:val="0"/>
              <w:autoSpaceDE/>
              <w:autoSpaceDN/>
              <w:bidi w:val="0"/>
              <w:adjustRightInd/>
              <w:snapToGrid/>
              <w:spacing w:line="320" w:lineRule="exact"/>
              <w:jc w:val="center"/>
              <w:textAlignment w:val="auto"/>
            </w:pPr>
          </w:p>
        </w:tc>
      </w:tr>
    </w:tbl>
    <w:p w14:paraId="20CC8FC4"/>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楷体_GB2312">
    <w:panose1 w:val="02010609030101010101"/>
    <w:charset w:val="86"/>
    <w:family w:val="auto"/>
    <w:pitch w:val="default"/>
    <w:sig w:usb0="00000001" w:usb1="080E0000" w:usb2="00000000" w:usb3="00000000" w:csb0="00040000" w:csb1="00000000"/>
  </w:font>
  <w:font w:name="CESI楷体-GB2312">
    <w:altName w:val="楷体_GB2312"/>
    <w:panose1 w:val="02000500000000000000"/>
    <w:charset w:val="86"/>
    <w:family w:val="auto"/>
    <w:pitch w:val="default"/>
    <w:sig w:usb0="00000000" w:usb1="00000000" w:usb2="00000012" w:usb3="00000000" w:csb0="0004000F" w:csb1="00000000"/>
  </w:font>
  <w:font w:name="CESI仿宋-GB2312">
    <w:altName w:val="仿宋"/>
    <w:panose1 w:val="02000500000000000000"/>
    <w:charset w:val="86"/>
    <w:family w:val="auto"/>
    <w:pitch w:val="default"/>
    <w:sig w:usb0="00000000" w:usb1="00000000" w:usb2="00000010" w:usb3="00000000" w:csb0="0004000F" w:csb1="00000000"/>
  </w:font>
  <w:font w:name="方正黑体_GBK">
    <w:altName w:val="微软雅黑"/>
    <w:panose1 w:val="02000000000000000000"/>
    <w:charset w:val="86"/>
    <w:family w:val="auto"/>
    <w:pitch w:val="default"/>
    <w:sig w:usb0="00000000" w:usb1="0000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ECA0A0">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4B5CA0D">
                          <w:pPr>
                            <w:pStyle w:val="7"/>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DkRMfazAEAAKcDAAAOAAAAAAAAAAEAIAAAAB4BAABkcnMvZTJv&#10;RG9jLnhtbFBLBQYAAAAABgAGAFkBAABcBQAAAAA=&#10;">
              <v:path/>
              <v:fill on="f" focussize="0,0"/>
              <v:stroke on="f"/>
              <v:imagedata o:title=""/>
              <o:lock v:ext="edit" aspectratio="f"/>
              <v:textbox inset="0mm,0mm,0mm,0mm" style="mso-fit-shape-to-text:t;">
                <w:txbxContent>
                  <w:p w14:paraId="64B5CA0D">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CD0ABE"/>
    <w:multiLevelType w:val="singleLevel"/>
    <w:tmpl w:val="9DCD0ABE"/>
    <w:lvl w:ilvl="0" w:tentative="0">
      <w:start w:val="1"/>
      <w:numFmt w:val="chineseCounting"/>
      <w:pStyle w:val="5"/>
      <w:suff w:val="nothing"/>
      <w:lvlText w:val="（%1）"/>
      <w:lvlJc w:val="left"/>
      <w:pPr>
        <w:ind w:left="0" w:firstLine="420"/>
      </w:pPr>
      <w:rPr>
        <w:rFonts w:hint="eastAsia"/>
      </w:rPr>
    </w:lvl>
  </w:abstractNum>
  <w:abstractNum w:abstractNumId="1">
    <w:nsid w:val="AB11EE57"/>
    <w:multiLevelType w:val="singleLevel"/>
    <w:tmpl w:val="AB11EE57"/>
    <w:lvl w:ilvl="0" w:tentative="0">
      <w:start w:val="1"/>
      <w:numFmt w:val="decimal"/>
      <w:pStyle w:val="6"/>
      <w:suff w:val="nothing"/>
      <w:lvlText w:val="%1．"/>
      <w:lvlJc w:val="left"/>
      <w:pPr>
        <w:ind w:left="0" w:firstLine="400"/>
      </w:pPr>
      <w:rPr>
        <w:rFonts w:hint="default"/>
      </w:rPr>
    </w:lvl>
  </w:abstractNum>
  <w:abstractNum w:abstractNumId="2">
    <w:nsid w:val="D41CE063"/>
    <w:multiLevelType w:val="singleLevel"/>
    <w:tmpl w:val="D41CE063"/>
    <w:lvl w:ilvl="0" w:tentative="0">
      <w:start w:val="1"/>
      <w:numFmt w:val="chineseCounting"/>
      <w:pStyle w:val="4"/>
      <w:suff w:val="nothing"/>
      <w:lvlText w:val="%1、"/>
      <w:lvlJc w:val="left"/>
      <w:pPr>
        <w:ind w:left="0" w:firstLine="420"/>
      </w:pPr>
      <w:rPr>
        <w:rFonts w:hint="eastAsia"/>
      </w:rPr>
    </w:lvl>
  </w:abstractNum>
  <w:abstractNum w:abstractNumId="3">
    <w:nsid w:val="D66FD1B0"/>
    <w:multiLevelType w:val="singleLevel"/>
    <w:tmpl w:val="D66FD1B0"/>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UwNDNhZTQzYjkwMDg0M2U5YzZjNTQ5Y2RhOTZlMmMifQ=="/>
  </w:docVars>
  <w:rsids>
    <w:rsidRoot w:val="021C2649"/>
    <w:rsid w:val="02110EFF"/>
    <w:rsid w:val="021C2649"/>
    <w:rsid w:val="02EA140F"/>
    <w:rsid w:val="03800DEA"/>
    <w:rsid w:val="040C5D0D"/>
    <w:rsid w:val="04763BEC"/>
    <w:rsid w:val="0D65084A"/>
    <w:rsid w:val="116462B1"/>
    <w:rsid w:val="1BB75C39"/>
    <w:rsid w:val="1F945969"/>
    <w:rsid w:val="4641705D"/>
    <w:rsid w:val="4A6921BC"/>
    <w:rsid w:val="648F44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3"/>
    <w:next w:val="1"/>
    <w:qFormat/>
    <w:uiPriority w:val="0"/>
    <w:pPr>
      <w:keepNext/>
      <w:keepLines/>
      <w:spacing w:before="100" w:beforeLines="100" w:beforeAutospacing="0" w:after="100" w:afterLines="100" w:afterAutospacing="0" w:line="600" w:lineRule="exact"/>
      <w:ind w:firstLine="0" w:firstLineChars="0"/>
      <w:jc w:val="center"/>
      <w:outlineLvl w:val="0"/>
    </w:pPr>
    <w:rPr>
      <w:rFonts w:ascii="方正小标宋_GBK" w:hAnsi="方正小标宋_GBK" w:eastAsia="方正小标宋_GBK"/>
      <w:b w:val="0"/>
      <w:kern w:val="44"/>
      <w:sz w:val="44"/>
    </w:rPr>
  </w:style>
  <w:style w:type="paragraph" w:styleId="4">
    <w:name w:val="heading 2"/>
    <w:next w:val="1"/>
    <w:semiHidden/>
    <w:unhideWhenUsed/>
    <w:qFormat/>
    <w:uiPriority w:val="0"/>
    <w:pPr>
      <w:keepNext/>
      <w:keepLines/>
      <w:numPr>
        <w:ilvl w:val="0"/>
        <w:numId w:val="1"/>
      </w:numPr>
      <w:spacing w:beforeLines="0" w:beforeAutospacing="0" w:afterLines="0" w:afterAutospacing="0" w:line="600" w:lineRule="exact"/>
      <w:ind w:firstLine="880" w:firstLineChars="200"/>
      <w:outlineLvl w:val="1"/>
    </w:pPr>
    <w:rPr>
      <w:rFonts w:ascii="黑体" w:hAnsi="黑体" w:eastAsia="黑体" w:cstheme="minorBidi"/>
      <w:sz w:val="32"/>
    </w:rPr>
  </w:style>
  <w:style w:type="paragraph" w:styleId="5">
    <w:name w:val="heading 3"/>
    <w:basedOn w:val="1"/>
    <w:next w:val="1"/>
    <w:semiHidden/>
    <w:unhideWhenUsed/>
    <w:qFormat/>
    <w:uiPriority w:val="0"/>
    <w:pPr>
      <w:keepNext/>
      <w:keepLines/>
      <w:numPr>
        <w:ilvl w:val="0"/>
        <w:numId w:val="2"/>
      </w:numPr>
      <w:spacing w:beforeLines="0" w:beforeAutospacing="0" w:afterLines="0" w:afterAutospacing="0" w:line="600" w:lineRule="exact"/>
      <w:ind w:firstLine="880" w:firstLineChars="200"/>
      <w:outlineLvl w:val="2"/>
    </w:pPr>
    <w:rPr>
      <w:rFonts w:ascii="楷体_GB2312" w:hAnsi="楷体_GB2312" w:eastAsia="楷体_GB2312"/>
      <w:b/>
      <w:sz w:val="32"/>
    </w:rPr>
  </w:style>
  <w:style w:type="paragraph" w:styleId="6">
    <w:name w:val="heading 4"/>
    <w:basedOn w:val="1"/>
    <w:next w:val="1"/>
    <w:semiHidden/>
    <w:unhideWhenUsed/>
    <w:qFormat/>
    <w:uiPriority w:val="0"/>
    <w:pPr>
      <w:keepNext/>
      <w:keepLines/>
      <w:numPr>
        <w:ilvl w:val="0"/>
        <w:numId w:val="3"/>
      </w:numPr>
      <w:spacing w:beforeLines="0" w:beforeAutospacing="0" w:afterLines="0" w:afterAutospacing="0" w:line="600" w:lineRule="exact"/>
      <w:ind w:firstLine="880" w:firstLineChars="200"/>
      <w:outlineLvl w:val="3"/>
    </w:pPr>
    <w:rPr>
      <w:rFonts w:ascii="仿宋_GB2312" w:hAnsi="仿宋_GB2312" w:eastAsia="仿宋_GB2312"/>
      <w:b/>
      <w:sz w:val="32"/>
    </w:rPr>
  </w:style>
  <w:style w:type="character" w:default="1" w:styleId="10">
    <w:name w:val="Default Paragraph Font"/>
    <w:semiHidden/>
    <w:qFormat/>
    <w:uiPriority w:val="0"/>
    <w:rPr>
      <w:rFonts w:ascii="仿宋_GB2312" w:hAnsi="仿宋_GB2312" w:eastAsia="仿宋_GB2312"/>
      <w:sz w:val="32"/>
    </w:rPr>
  </w:style>
  <w:style w:type="table" w:default="1" w:styleId="8">
    <w:name w:val="Normal Table"/>
    <w:semiHidden/>
    <w:qFormat/>
    <w:uiPriority w:val="0"/>
    <w:tblPr>
      <w:tblCellMar>
        <w:top w:w="0" w:type="dxa"/>
        <w:left w:w="108" w:type="dxa"/>
        <w:bottom w:w="0" w:type="dxa"/>
        <w:right w:w="108" w:type="dxa"/>
      </w:tblCellMar>
    </w:tblPr>
  </w:style>
  <w:style w:type="paragraph" w:styleId="3">
    <w:name w:val="Title"/>
    <w:basedOn w:val="1"/>
    <w:qFormat/>
    <w:uiPriority w:val="0"/>
    <w:pPr>
      <w:spacing w:before="240" w:beforeLines="0" w:beforeAutospacing="0" w:after="60" w:afterLines="0" w:afterAutospacing="0"/>
      <w:jc w:val="center"/>
      <w:outlineLvl w:val="0"/>
    </w:pPr>
    <w:rPr>
      <w:rFonts w:ascii="Arial" w:hAnsi="Arial"/>
      <w:b/>
      <w:sz w:val="32"/>
    </w:rPr>
  </w:style>
  <w:style w:type="paragraph" w:styleId="7">
    <w:name w:val="footer"/>
    <w:basedOn w:val="1"/>
    <w:qFormat/>
    <w:uiPriority w:val="0"/>
    <w:pPr>
      <w:tabs>
        <w:tab w:val="center" w:pos="4153"/>
        <w:tab w:val="right" w:pos="8306"/>
      </w:tabs>
      <w:snapToGrid w:val="0"/>
      <w:ind w:firstLine="0" w:firstLineChars="0"/>
      <w:jc w:val="center"/>
    </w:pPr>
    <w:rPr>
      <w:sz w:val="28"/>
    </w:rPr>
  </w:style>
  <w:style w:type="table" w:styleId="9">
    <w:name w:val="Table Grid"/>
    <w:basedOn w:val="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2026-07-21T03:39:00Z</dcterms:created>
  <dc:creator>Administrator</dc:creator>
  <cp:lastModifiedBy>Administrator</cp:lastModifiedBy>
  <dcterms:modified xsi:type="dcterms:W3CDTF">2026-07-21T03:40:42Z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FC55F6CCD2E24FAC9DCEA2361600EA95_11</vt:lpwstr>
  </property>
</Properties>
</file>