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E0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关于《关于清理和规范全市殡葬服务收费</w:t>
      </w:r>
    </w:p>
    <w:p w14:paraId="50001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项目的通知（征求意见稿）》的起草说明</w:t>
      </w:r>
      <w:bookmarkEnd w:id="0"/>
    </w:p>
    <w:p w14:paraId="742C8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78EDA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为持续强化殡葬行业公益属性，全面整治殡葬服务收费乱象，切实减轻群众丧葬支出负担，健全我市殡葬服务价格监管长效机制，南昌市民政局牵头联合市发改委、市财政局、市市场监管局起草《关于清理和规范全市殡葬服务收费项目的通知》（以下简称《通知》），现将有关起草情况说明如下：</w:t>
      </w:r>
    </w:p>
    <w:p w14:paraId="0EE32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一、起草背景</w:t>
      </w:r>
    </w:p>
    <w:p w14:paraId="1BCB8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殡葬服务事关群众基本民生，兼具公共服务公益属性。近年来我市持续推进殡葬改革、惠民殡葬落实工作，但市域内殡葬机构存在收费名目繁杂、价格区间不统一、收费标准差异较大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等问题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，加重群众治丧成本。</w:t>
      </w:r>
    </w:p>
    <w:p w14:paraId="49391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为落实移风易俗、文明殡葬工作要求，厘清政府定价与市场调节服务边界，统一全市殡葬收费项目清单，压实多部门联合监管责任，构建公开透明、公平合理的殡葬收费体系，亟需出台全市统一规范文件，系统性清理、整合、规范殡葬各类收费项目。</w:t>
      </w:r>
    </w:p>
    <w:p w14:paraId="0C4F3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  <w:t>二、《通知》主要内容</w:t>
      </w:r>
    </w:p>
    <w:p w14:paraId="10EFC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《通知》全文分为四大主体板块，配套《南昌市殡葬服务收费项目指导目录》作为核心附件，覆盖适用范围、工作原则、价格分类管理、服务秩序规范、部门监管、文件有效期等内容。</w:t>
      </w:r>
    </w:p>
    <w:p w14:paraId="7075A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  <w:t>（一）适用范围</w:t>
      </w:r>
    </w:p>
    <w:p w14:paraId="1C4B5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明确文件约束对象为全市范围内政府批准设立的殡仪馆、公墓、骨灰堂等全部殡葬服务机构，覆盖公益性、政府经营性、社会经营性殡葬场所。</w:t>
      </w:r>
    </w:p>
    <w:p w14:paraId="13931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</w:pPr>
      <w:r>
        <w:rPr>
          <w:rFonts w:hint="default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  <w:t>（二）分类价格管理机制</w:t>
      </w:r>
    </w:p>
    <w:p w14:paraId="35159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1.20项基础服务：政府指导价管理</w:t>
      </w:r>
    </w:p>
    <w:p w14:paraId="462EC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遗体接运、冷藏存放、遗体告别、火化、骨灰寄存、生态安葬、公益性公墓格位维护、墓位使用费、守灵厅、遗体整容、特殊遗体收殓、跨区域接运、礼仪服务、代祭扫、惠民骨灰盒等群众刚需基础服务纳入政府指导价，设定统一基准价与上浮上限（多数项目上浮不超15%、下浮不限）。</w:t>
      </w:r>
    </w:p>
    <w:p w14:paraId="09722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其中遗体接运、火化、冷藏、告别、骨灰寄存、生态安葬、公益性格位安葬7项核心服务按行政事业性收费管理；明确公益性公墓仅可收取维护管理费，禁止收取墓位使用费；农村公益性墓地严控收费。</w:t>
      </w:r>
    </w:p>
    <w:p w14:paraId="0A5C6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b/>
          <w:bCs/>
          <w:sz w:val="32"/>
          <w:szCs w:val="32"/>
          <w:lang w:val="en-US" w:eastAsia="zh-CN"/>
        </w:rPr>
        <w:t>2.2大类非基础服务：市场调节价管理</w:t>
      </w:r>
    </w:p>
    <w:p w14:paraId="24F2C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一是非政府经营性公墓墓位使用费，设置成本利润率、最高售价双重上限，按就低原则管控；</w:t>
      </w:r>
    </w:p>
    <w:p w14:paraId="7AB4C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二是文明殡葬用品租售（寿衣、鲜花、花圈、随葬用品等14小类），统一进销差价率上限25%，分品类设置最高限价，严控暴利。</w:t>
      </w:r>
    </w:p>
    <w:p w14:paraId="478D5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  <w:t>（三）规范殡葬服务经营秩序</w:t>
      </w:r>
    </w:p>
    <w:p w14:paraId="0FF78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1.约束机构收费行为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禁止捆绑、强制消费，不得限制群众自带骨灰盒，统一使用全省制式服务合同；</w:t>
      </w:r>
    </w:p>
    <w:p w14:paraId="11779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2.刚性落实惠民殡葬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足额落实各项费用减免，保障中低档殡葬用品充足供应，落实殡葬场所水电民用价政策；</w:t>
      </w:r>
    </w:p>
    <w:p w14:paraId="09ECC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3.建立多部门常态化联合监管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发改、民政、财政、市监各司其职，畅通12315投诉渠道，定期开展收费政策评估（评估周期不超3年）；</w:t>
      </w:r>
    </w:p>
    <w:p w14:paraId="39D68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4.强化重点领域整治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严查殡仪馆、经营性公墓超标准收费、超大墓穴、规避政府采购等违规行为。</w:t>
      </w:r>
    </w:p>
    <w:p w14:paraId="06791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  <w:t>三、本次文件主要特色亮点</w:t>
      </w:r>
    </w:p>
    <w:p w14:paraId="7DF68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对比我市原有殡葬收费管理相关文件，本次征求意见稿在清单标准化、价格分层管控、监管协同、惠民减负四个方面实现优化升级：</w:t>
      </w:r>
    </w:p>
    <w:p w14:paraId="4986D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1.收费项目清单化，杜绝乱立项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。实行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“20+2”分类清单管理模式，将全市所有殡葬收费全部纳入目录，取消游离于清单外的隐形收费项目，区分刚需基础服务与选择性增值服务，边界清晰、便于群众查询、部门核查。</w:t>
      </w:r>
    </w:p>
    <w:p w14:paraId="4589C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2.价格管控精细化，分层设限控成本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对政府指导价统一划定基准价与浮动幅度，对市场调节类服务、用品设置双重价格约束（成本利润率/进销差价率+最高限价），双重标准就低执行，从源头遏制殡葬价格虚高，平衡机构运营成本与群众承受能力。</w:t>
      </w:r>
    </w:p>
    <w:p w14:paraId="20A19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3.权责划分清晰化，多部门协同监管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细化发改、民政、财政、市场监管部门监管职责，建立定期评估、联合抽查、年度报告、投诉处置一体化监管机制，解决以往单一部门监管力度不足问题。</w:t>
      </w:r>
    </w:p>
    <w:p w14:paraId="09CC7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4.惠民导向突出化，持续减轻丧葬负担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硬性要求殡葬机构保障低、中档殡葬用品供给占比，规范公益性公墓收费规则，细化生态安葬奖补、惠民骨灰盒配套政策，严控刚需殡葬服务涨价幅度，全面落实惠民减免政策。</w:t>
      </w:r>
    </w:p>
    <w:p w14:paraId="1BD17A77"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5.移风易俗刚性约束，倡导文明节俭治丧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。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明确禁止售卖、提供封建迷信殡葬用品与服务，优先推广树葬、花葬等生态安葬，通过价格引导群众简化丧葬流程，树立厚养薄葬新风。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D0ABE"/>
    <w:multiLevelType w:val="singleLevel"/>
    <w:tmpl w:val="9DCD0ABE"/>
    <w:lvl w:ilvl="0" w:tentative="0">
      <w:start w:val="1"/>
      <w:numFmt w:val="chineseCounting"/>
      <w:pStyle w:val="5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AB11EE57"/>
    <w:multiLevelType w:val="singleLevel"/>
    <w:tmpl w:val="AB11EE57"/>
    <w:lvl w:ilvl="0" w:tentative="0">
      <w:start w:val="1"/>
      <w:numFmt w:val="decimal"/>
      <w:pStyle w:val="6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D41CE063"/>
    <w:multiLevelType w:val="singleLevel"/>
    <w:tmpl w:val="D41CE063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wNDNhZTQzYjkwMDg0M2U5YzZjNTQ5Y2RhOTZlMmMifQ=="/>
  </w:docVars>
  <w:rsids>
    <w:rsidRoot w:val="46CF52B8"/>
    <w:rsid w:val="02110EFF"/>
    <w:rsid w:val="02EA140F"/>
    <w:rsid w:val="03800DEA"/>
    <w:rsid w:val="040C5D0D"/>
    <w:rsid w:val="04763BEC"/>
    <w:rsid w:val="0D65084A"/>
    <w:rsid w:val="116462B1"/>
    <w:rsid w:val="1BB75C39"/>
    <w:rsid w:val="1F945969"/>
    <w:rsid w:val="4641705D"/>
    <w:rsid w:val="46CF52B8"/>
    <w:rsid w:val="4A6921BC"/>
    <w:rsid w:val="648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100" w:beforeLines="100" w:beforeAutospacing="0" w:after="100" w:afterLines="100" w:afterAutospacing="0" w:line="600" w:lineRule="exact"/>
      <w:ind w:firstLine="0" w:firstLineChars="0"/>
      <w:jc w:val="center"/>
      <w:outlineLvl w:val="0"/>
    </w:pPr>
    <w:rPr>
      <w:rFonts w:ascii="方正小标宋_GBK" w:hAnsi="方正小标宋_GBK" w:eastAsia="方正小标宋_GBK"/>
      <w:b w:val="0"/>
      <w:kern w:val="44"/>
      <w:sz w:val="44"/>
    </w:rPr>
  </w:style>
  <w:style w:type="paragraph" w:styleId="4">
    <w:name w:val="heading 2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 w:cstheme="minorBidi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600" w:lineRule="exact"/>
      <w:ind w:firstLine="880" w:firstLineChars="200"/>
      <w:outlineLvl w:val="2"/>
    </w:pPr>
    <w:rPr>
      <w:rFonts w:ascii="楷体_GB2312" w:hAnsi="楷体_GB2312" w:eastAsia="楷体_GB2312"/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600" w:lineRule="exact"/>
      <w:ind w:firstLine="880" w:firstLineChars="200"/>
      <w:outlineLvl w:val="3"/>
    </w:pPr>
    <w:rPr>
      <w:rFonts w:ascii="仿宋_GB2312" w:hAnsi="仿宋_GB2312" w:eastAsia="仿宋_GB2312"/>
      <w:b/>
      <w:sz w:val="32"/>
    </w:rPr>
  </w:style>
  <w:style w:type="character" w:default="1" w:styleId="9">
    <w:name w:val="Default Paragraph Font"/>
    <w:semiHidden/>
    <w:qFormat/>
    <w:uiPriority w:val="0"/>
    <w:rPr>
      <w:rFonts w:ascii="仿宋_GB2312" w:hAnsi="仿宋_GB2312" w:eastAsia="仿宋_GB2312"/>
      <w:sz w:val="32"/>
    </w:rPr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2026-07-21T03:41:00Z</dcterms:created>
  <dc:creator>Administrator</dc:creator>
  <cp:lastModifiedBy>Administrator</cp:lastModifiedBy>
  <dcterms:modified xsi:type="dcterms:W3CDTF">2026-07-21T03:41:24Z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B0140A0DA8C14C65A7A960F4E6416E9B_11</vt:lpwstr>
  </property>
</Properties>
</file>